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5E0BB" w14:textId="71F4307E" w:rsidR="001A5E58" w:rsidRDefault="00B270C9">
      <w:r>
        <w:rPr>
          <w:noProof/>
        </w:rPr>
        <mc:AlternateContent>
          <mc:Choice Requires="wps">
            <w:drawing>
              <wp:anchor distT="45720" distB="45720" distL="114300" distR="114300" simplePos="0" relativeHeight="251658251" behindDoc="0" locked="0" layoutInCell="1" allowOverlap="1" wp14:anchorId="01444B28" wp14:editId="3FF545C3">
                <wp:simplePos x="0" y="0"/>
                <wp:positionH relativeFrom="margin">
                  <wp:align>right</wp:align>
                </wp:positionH>
                <wp:positionV relativeFrom="paragraph">
                  <wp:posOffset>6637655</wp:posOffset>
                </wp:positionV>
                <wp:extent cx="6477000" cy="2343150"/>
                <wp:effectExtent l="0" t="0" r="0" b="0"/>
                <wp:wrapThrough wrapText="bothSides">
                  <wp:wrapPolygon edited="0">
                    <wp:start x="191" y="0"/>
                    <wp:lineTo x="191" y="21424"/>
                    <wp:lineTo x="21346" y="21424"/>
                    <wp:lineTo x="21346" y="0"/>
                    <wp:lineTo x="19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43150"/>
                        </a:xfrm>
                        <a:prstGeom prst="rect">
                          <a:avLst/>
                        </a:prstGeom>
                        <a:noFill/>
                        <a:ln w="9525">
                          <a:noFill/>
                          <a:miter lim="800000"/>
                          <a:headEnd/>
                          <a:tailEnd/>
                        </a:ln>
                      </wps:spPr>
                      <wps:txbx>
                        <w:txbxContent>
                          <w:p w14:paraId="675222BF" w14:textId="0E16747C" w:rsidR="004753CF" w:rsidRPr="00B270C9" w:rsidRDefault="001F3112">
                            <w:pPr>
                              <w:rPr>
                                <w:color w:val="FFFFFF" w:themeColor="background1"/>
                                <w:sz w:val="80"/>
                                <w:szCs w:val="80"/>
                              </w:rPr>
                            </w:pPr>
                            <w:r w:rsidRPr="001F3112">
                              <w:rPr>
                                <w:b/>
                                <w:bCs/>
                                <w:color w:val="FFFFFF" w:themeColor="background1"/>
                                <w:sz w:val="80"/>
                                <w:szCs w:val="80"/>
                              </w:rPr>
                              <w:t xml:space="preserve">Closing the fuel poverty gap: </w:t>
                            </w:r>
                            <w:r>
                              <w:rPr>
                                <w:b/>
                                <w:bCs/>
                                <w:color w:val="FFFFFF" w:themeColor="background1"/>
                                <w:sz w:val="80"/>
                                <w:szCs w:val="80"/>
                              </w:rPr>
                              <w:t>A</w:t>
                            </w:r>
                            <w:r w:rsidRPr="001F3112">
                              <w:rPr>
                                <w:b/>
                                <w:bCs/>
                                <w:color w:val="FFFFFF" w:themeColor="background1"/>
                                <w:sz w:val="80"/>
                                <w:szCs w:val="80"/>
                              </w:rPr>
                              <w:t xml:space="preserve"> plan for targeted energy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44B28" id="_x0000_t202" coordsize="21600,21600" o:spt="202" path="m,l,21600r21600,l21600,xe">
                <v:stroke joinstyle="miter"/>
                <v:path gradientshapeok="t" o:connecttype="rect"/>
              </v:shapetype>
              <v:shape id="Text Box 2" o:spid="_x0000_s1026" type="#_x0000_t202" style="position:absolute;margin-left:458.8pt;margin-top:522.65pt;width:510pt;height:184.5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" filled="f" stroked="f">
                <v:textbox>
                  <w:txbxContent>
                    <w:p w14:paraId="675222BF" w14:textId="0E16747C" w:rsidR="004753CF" w:rsidRPr="00B270C9" w:rsidRDefault="001F3112">
                      <w:pPr>
                        <w:rPr>
                          <w:color w:val="FFFFFF" w:themeColor="background1"/>
                          <w:sz w:val="80"/>
                          <w:szCs w:val="80"/>
                        </w:rPr>
                      </w:pPr>
                      <w:r w:rsidRPr="001F3112">
                        <w:rPr>
                          <w:b/>
                          <w:bCs/>
                          <w:color w:val="FFFFFF" w:themeColor="background1"/>
                          <w:sz w:val="80"/>
                          <w:szCs w:val="80"/>
                        </w:rPr>
                        <w:t xml:space="preserve">Closing the fuel poverty gap: </w:t>
                      </w:r>
                      <w:r>
                        <w:rPr>
                          <w:b/>
                          <w:bCs/>
                          <w:color w:val="FFFFFF" w:themeColor="background1"/>
                          <w:sz w:val="80"/>
                          <w:szCs w:val="80"/>
                        </w:rPr>
                        <w:t>A</w:t>
                      </w:r>
                      <w:r w:rsidRPr="001F3112">
                        <w:rPr>
                          <w:b/>
                          <w:bCs/>
                          <w:color w:val="FFFFFF" w:themeColor="background1"/>
                          <w:sz w:val="80"/>
                          <w:szCs w:val="80"/>
                        </w:rPr>
                        <w:t xml:space="preserve"> plan for targeted energy support</w:t>
                      </w:r>
                    </w:p>
                  </w:txbxContent>
                </v:textbox>
                <w10:wrap type="through" anchorx="margin"/>
              </v:shape>
            </w:pict>
          </mc:Fallback>
        </mc:AlternateContent>
      </w:r>
      <w:r>
        <w:rPr>
          <w:noProof/>
        </w:rPr>
        <mc:AlternateContent>
          <mc:Choice Requires="wps">
            <w:drawing>
              <wp:anchor distT="45720" distB="45720" distL="114300" distR="114300" simplePos="0" relativeHeight="251658252" behindDoc="0" locked="0" layoutInCell="1" allowOverlap="1" wp14:anchorId="0D1BBF28" wp14:editId="08112377">
                <wp:simplePos x="0" y="0"/>
                <wp:positionH relativeFrom="column">
                  <wp:posOffset>105410</wp:posOffset>
                </wp:positionH>
                <wp:positionV relativeFrom="paragraph">
                  <wp:posOffset>8644255</wp:posOffset>
                </wp:positionV>
                <wp:extent cx="2360930" cy="1404620"/>
                <wp:effectExtent l="0" t="0" r="0" b="0"/>
                <wp:wrapSquare wrapText="bothSides"/>
                <wp:docPr id="14474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13DF11" w14:textId="1BF5B88D" w:rsidR="007519BA" w:rsidRPr="00C77A28" w:rsidRDefault="007519BA">
                            <w:pPr>
                              <w:rPr>
                                <w:color w:val="FBD4B4" w:themeColor="accent6" w:themeTint="66"/>
                                <w:sz w:val="32"/>
                                <w:szCs w:val="32"/>
                              </w:rPr>
                            </w:pPr>
                            <w:r w:rsidRPr="00C77A28">
                              <w:rPr>
                                <w:color w:val="FBD4B4" w:themeColor="accent6" w:themeTint="66"/>
                                <w:sz w:val="32"/>
                                <w:szCs w:val="32"/>
                              </w:rPr>
                              <w:t>August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1BBF28" id="_x0000_s1027" type="#_x0000_t202" style="position:absolute;margin-left:8.3pt;margin-top:680.65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" filled="f" stroked="f">
                <v:textbox style="mso-fit-shape-to-text:t">
                  <w:txbxContent>
                    <w:p w14:paraId="7D13DF11" w14:textId="1BF5B88D" w:rsidR="007519BA" w:rsidRPr="00C77A28" w:rsidRDefault="007519BA">
                      <w:pPr>
                        <w:rPr>
                          <w:color w:val="FBD4B4" w:themeColor="accent6" w:themeTint="66"/>
                          <w:sz w:val="32"/>
                          <w:szCs w:val="32"/>
                        </w:rPr>
                      </w:pPr>
                      <w:r w:rsidRPr="00C77A28">
                        <w:rPr>
                          <w:color w:val="FBD4B4" w:themeColor="accent6" w:themeTint="66"/>
                          <w:sz w:val="32"/>
                          <w:szCs w:val="32"/>
                        </w:rPr>
                        <w:t>August 2025</w:t>
                      </w:r>
                    </w:p>
                  </w:txbxContent>
                </v:textbox>
                <w10:wrap type="square"/>
              </v:shape>
            </w:pict>
          </mc:Fallback>
        </mc:AlternateContent>
      </w:r>
      <w:permStart w:id="937690493" w:edGrp="everyone"/>
      <w:r w:rsidR="007519BA">
        <w:rPr>
          <w:noProof/>
        </w:rPr>
        <w:drawing>
          <wp:anchor distT="114300" distB="114300" distL="114300" distR="114300" simplePos="0" relativeHeight="251658244" behindDoc="1" locked="0" layoutInCell="1" hidden="0" allowOverlap="1" wp14:anchorId="465CDF90" wp14:editId="4BF364B6">
            <wp:simplePos x="0" y="0"/>
            <wp:positionH relativeFrom="column">
              <wp:posOffset>-549910</wp:posOffset>
            </wp:positionH>
            <wp:positionV relativeFrom="paragraph">
              <wp:posOffset>-2372995</wp:posOffset>
            </wp:positionV>
            <wp:extent cx="9467850" cy="12258675"/>
            <wp:effectExtent l="0" t="0" r="0" b="9525"/>
            <wp:wrapNone/>
            <wp:docPr id="15" name="image18.jpg" descr="Cover image of a person holding an energy bill in the kitchen"/>
            <wp:cNvGraphicFramePr/>
            <a:graphic xmlns:a="http://schemas.openxmlformats.org/drawingml/2006/main">
              <a:graphicData uri="http://schemas.openxmlformats.org/drawingml/2006/picture">
                <pic:pic xmlns:pic="http://schemas.openxmlformats.org/drawingml/2006/picture">
                  <pic:nvPicPr>
                    <pic:cNvPr id="15" name="image18.jpg" descr="Cover image of a person holding an energy bill in the kitchen"/>
                    <pic:cNvPicPr preferRelativeResize="0"/>
                  </pic:nvPicPr>
                  <pic:blipFill>
                    <a:blip r:embed="rId10"/>
                    <a:srcRect t="13168" b="17416"/>
                    <a:stretch>
                      <a:fillRect/>
                    </a:stretch>
                  </pic:blipFill>
                  <pic:spPr>
                    <a:xfrm>
                      <a:off x="0" y="0"/>
                      <a:ext cx="9467850" cy="12258675"/>
                    </a:xfrm>
                    <a:prstGeom prst="rect">
                      <a:avLst/>
                    </a:prstGeom>
                    <a:ln/>
                  </pic:spPr>
                </pic:pic>
              </a:graphicData>
            </a:graphic>
            <wp14:sizeRelH relativeFrom="margin">
              <wp14:pctWidth>0</wp14:pctWidth>
            </wp14:sizeRelH>
            <wp14:sizeRelV relativeFrom="margin">
              <wp14:pctHeight>0</wp14:pctHeight>
            </wp14:sizeRelV>
          </wp:anchor>
        </w:drawing>
      </w:r>
      <w:permEnd w:id="937690493"/>
      <w:r w:rsidR="00DC6F1F">
        <w:rPr>
          <w:noProof/>
        </w:rPr>
        <w:drawing>
          <wp:anchor distT="0" distB="0" distL="114300" distR="114300" simplePos="0" relativeHeight="251658245" behindDoc="0" locked="0" layoutInCell="1" hidden="0" allowOverlap="1" wp14:anchorId="511D666C" wp14:editId="2FDD36F9">
            <wp:simplePos x="0" y="0"/>
            <wp:positionH relativeFrom="page">
              <wp:posOffset>4664710</wp:posOffset>
            </wp:positionH>
            <wp:positionV relativeFrom="page">
              <wp:posOffset>363220</wp:posOffset>
            </wp:positionV>
            <wp:extent cx="2371725" cy="428625"/>
            <wp:effectExtent l="0" t="0" r="9525" b="9525"/>
            <wp:wrapNone/>
            <wp:docPr id="23" name="image11.png" descr="Public First logo"/>
            <wp:cNvGraphicFramePr/>
            <a:graphic xmlns:a="http://schemas.openxmlformats.org/drawingml/2006/main">
              <a:graphicData uri="http://schemas.openxmlformats.org/drawingml/2006/picture">
                <pic:pic xmlns:pic="http://schemas.openxmlformats.org/drawingml/2006/picture">
                  <pic:nvPicPr>
                    <pic:cNvPr id="23" name="image11.png" descr="Public First logo"/>
                    <pic:cNvPicPr preferRelativeResize="0"/>
                  </pic:nvPicPr>
                  <pic:blipFill>
                    <a:blip r:embed="rId11"/>
                    <a:srcRect/>
                    <a:stretch>
                      <a:fillRect/>
                    </a:stretch>
                  </pic:blipFill>
                  <pic:spPr>
                    <a:xfrm>
                      <a:off x="0" y="0"/>
                      <a:ext cx="2371725" cy="428625"/>
                    </a:xfrm>
                    <a:prstGeom prst="rect">
                      <a:avLst/>
                    </a:prstGeom>
                    <a:ln/>
                  </pic:spPr>
                </pic:pic>
              </a:graphicData>
            </a:graphic>
          </wp:anchor>
        </w:drawing>
      </w:r>
      <w:r w:rsidR="00DC6F1F">
        <w:rPr>
          <w:noProof/>
        </w:rPr>
        <mc:AlternateContent>
          <mc:Choice Requires="wps">
            <w:drawing>
              <wp:anchor distT="0" distB="0" distL="114300" distR="114300" simplePos="0" relativeHeight="251658243" behindDoc="1" locked="0" layoutInCell="1" hidden="0" allowOverlap="1" wp14:anchorId="42D0A003" wp14:editId="2810C0A7">
                <wp:simplePos x="0" y="0"/>
                <wp:positionH relativeFrom="page">
                  <wp:align>left</wp:align>
                </wp:positionH>
                <wp:positionV relativeFrom="page">
                  <wp:posOffset>-36511</wp:posOffset>
                </wp:positionV>
                <wp:extent cx="7593965" cy="1104679"/>
                <wp:effectExtent l="0" t="0" r="0" b="0"/>
                <wp:wrapNone/>
                <wp:docPr id="2" name="Rectangle 2"/>
                <wp:cNvGraphicFramePr/>
                <a:graphic xmlns:a="http://schemas.openxmlformats.org/drawingml/2006/main">
                  <a:graphicData uri="http://schemas.microsoft.com/office/word/2010/wordprocessingShape">
                    <wps:wsp>
                      <wps:cNvSpPr/>
                      <wps:spPr>
                        <a:xfrm>
                          <a:off x="1553780" y="3232423"/>
                          <a:ext cx="7584440" cy="1095154"/>
                        </a:xfrm>
                        <a:prstGeom prst="rect">
                          <a:avLst/>
                        </a:prstGeom>
                        <a:solidFill>
                          <a:schemeClr val="lt2"/>
                        </a:solidFill>
                        <a:ln>
                          <a:noFill/>
                        </a:ln>
                      </wps:spPr>
                      <wps:txbx>
                        <w:txbxContent>
                          <w:p w14:paraId="770C509D" w14:textId="77777777" w:rsidR="001A5E58" w:rsidRDefault="001A5E58">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42D0A003" id="Rectangle 2" o:spid="_x0000_s1028" style="position:absolute;margin-left:0;margin-top:-2.85pt;width:597.95pt;height:87pt;z-index:-251658237;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" fillcolor="#eeece1 [3203]" stroked="f">
                <v:textbox inset="2.53958mm,2.53958mm,2.53958mm,2.53958mm">
                  <w:txbxContent>
                    <w:p w14:paraId="770C509D" w14:textId="77777777" w:rsidR="001A5E58" w:rsidRDefault="001A5E58">
                      <w:pPr>
                        <w:spacing w:after="0"/>
                        <w:textDirection w:val="btLr"/>
                      </w:pPr>
                    </w:p>
                  </w:txbxContent>
                </v:textbox>
                <w10:wrap anchorx="page" anchory="page"/>
              </v:rect>
            </w:pict>
          </mc:Fallback>
        </mc:AlternateContent>
      </w:r>
      <w:bookmarkStart w:id="0" w:name="_dg58cjj1i4c" w:colFirst="0" w:colLast="0"/>
      <w:bookmarkEnd w:id="0"/>
    </w:p>
    <w:p w14:paraId="00BB47DE" w14:textId="33D3F421" w:rsidR="001A5E58" w:rsidRDefault="00F84F72">
      <w:pPr>
        <w:pStyle w:val="Heading1"/>
        <w:ind w:left="0" w:firstLine="0"/>
      </w:pPr>
      <w:bookmarkStart w:id="1" w:name="_Toc202861060"/>
      <w:r>
        <w:lastRenderedPageBreak/>
        <w:t>Contents</w:t>
      </w:r>
      <w:bookmarkEnd w:id="1"/>
    </w:p>
    <w:p w14:paraId="54D343FB" w14:textId="77777777" w:rsidR="00CA438B" w:rsidRPr="00CA438B" w:rsidRDefault="00CA438B" w:rsidP="00CA438B">
      <w:pPr>
        <w:pStyle w:val="TOC1"/>
        <w:tabs>
          <w:tab w:val="right" w:pos="10194"/>
        </w:tabs>
        <w:rPr>
          <w:noProof/>
          <w:color w:val="000000" w:themeColor="text1"/>
          <w:sz w:val="28"/>
          <w:szCs w:val="28"/>
        </w:rPr>
      </w:pPr>
      <w:hyperlink w:anchor="_Toc202861060" w:history="1">
        <w:r w:rsidRPr="00CA438B">
          <w:rPr>
            <w:rStyle w:val="Hyperlink"/>
            <w:noProof/>
            <w:color w:val="000000" w:themeColor="text1"/>
            <w:sz w:val="28"/>
            <w:szCs w:val="28"/>
            <w:u w:val="none"/>
          </w:rPr>
          <w:t>Contents</w:t>
        </w:r>
        <w:r w:rsidRPr="00CA438B">
          <w:rPr>
            <w:noProof/>
            <w:webHidden/>
            <w:color w:val="000000" w:themeColor="text1"/>
            <w:sz w:val="28"/>
            <w:szCs w:val="28"/>
          </w:rPr>
          <w:tab/>
        </w:r>
        <w:r w:rsidRPr="00CA438B">
          <w:rPr>
            <w:noProof/>
            <w:webHidden/>
            <w:color w:val="000000" w:themeColor="text1"/>
            <w:sz w:val="28"/>
            <w:szCs w:val="28"/>
          </w:rPr>
          <w:fldChar w:fldCharType="begin"/>
        </w:r>
        <w:r w:rsidRPr="00CA438B">
          <w:rPr>
            <w:noProof/>
            <w:webHidden/>
            <w:color w:val="000000" w:themeColor="text1"/>
            <w:sz w:val="28"/>
            <w:szCs w:val="28"/>
          </w:rPr>
          <w:instrText xml:space="preserve"> PAGEREF _Toc202861060 \h </w:instrText>
        </w:r>
        <w:r w:rsidRPr="00CA438B">
          <w:rPr>
            <w:noProof/>
            <w:webHidden/>
            <w:color w:val="000000" w:themeColor="text1"/>
            <w:sz w:val="28"/>
            <w:szCs w:val="28"/>
          </w:rPr>
        </w:r>
        <w:r w:rsidRPr="00CA438B">
          <w:rPr>
            <w:noProof/>
            <w:webHidden/>
            <w:color w:val="000000" w:themeColor="text1"/>
            <w:sz w:val="28"/>
            <w:szCs w:val="28"/>
          </w:rPr>
          <w:fldChar w:fldCharType="separate"/>
        </w:r>
        <w:r w:rsidRPr="00CA438B">
          <w:rPr>
            <w:noProof/>
            <w:webHidden/>
            <w:color w:val="000000" w:themeColor="text1"/>
            <w:sz w:val="28"/>
            <w:szCs w:val="28"/>
          </w:rPr>
          <w:t>2</w:t>
        </w:r>
        <w:r w:rsidRPr="00CA438B">
          <w:rPr>
            <w:noProof/>
            <w:webHidden/>
            <w:color w:val="000000" w:themeColor="text1"/>
            <w:sz w:val="28"/>
            <w:szCs w:val="28"/>
          </w:rPr>
          <w:fldChar w:fldCharType="end"/>
        </w:r>
      </w:hyperlink>
    </w:p>
    <w:p w14:paraId="47E3D644" w14:textId="77777777" w:rsidR="00CA438B" w:rsidRPr="00CA438B" w:rsidRDefault="00CA438B" w:rsidP="00CA438B">
      <w:pPr>
        <w:pStyle w:val="TOC1"/>
        <w:tabs>
          <w:tab w:val="right" w:pos="10194"/>
        </w:tabs>
        <w:rPr>
          <w:noProof/>
          <w:color w:val="000000" w:themeColor="text1"/>
          <w:sz w:val="28"/>
          <w:szCs w:val="28"/>
        </w:rPr>
      </w:pPr>
      <w:hyperlink w:anchor="_Toc202861061" w:history="1">
        <w:r w:rsidRPr="00CA438B">
          <w:rPr>
            <w:rStyle w:val="Hyperlink"/>
            <w:noProof/>
            <w:color w:val="000000" w:themeColor="text1"/>
            <w:sz w:val="28"/>
            <w:szCs w:val="28"/>
            <w:u w:val="none"/>
          </w:rPr>
          <w:t>Acknowledgements</w:t>
        </w:r>
        <w:r w:rsidRPr="00CA438B">
          <w:rPr>
            <w:noProof/>
            <w:webHidden/>
            <w:color w:val="000000" w:themeColor="text1"/>
            <w:sz w:val="28"/>
            <w:szCs w:val="28"/>
          </w:rPr>
          <w:tab/>
        </w:r>
        <w:r w:rsidRPr="00CA438B">
          <w:rPr>
            <w:noProof/>
            <w:webHidden/>
            <w:color w:val="000000" w:themeColor="text1"/>
            <w:sz w:val="28"/>
            <w:szCs w:val="28"/>
          </w:rPr>
          <w:fldChar w:fldCharType="begin"/>
        </w:r>
        <w:r w:rsidRPr="00CA438B">
          <w:rPr>
            <w:noProof/>
            <w:webHidden/>
            <w:color w:val="000000" w:themeColor="text1"/>
            <w:sz w:val="28"/>
            <w:szCs w:val="28"/>
          </w:rPr>
          <w:instrText xml:space="preserve"> PAGEREF _Toc202861061 \h </w:instrText>
        </w:r>
        <w:r w:rsidRPr="00CA438B">
          <w:rPr>
            <w:noProof/>
            <w:webHidden/>
            <w:color w:val="000000" w:themeColor="text1"/>
            <w:sz w:val="28"/>
            <w:szCs w:val="28"/>
          </w:rPr>
        </w:r>
        <w:r w:rsidRPr="00CA438B">
          <w:rPr>
            <w:noProof/>
            <w:webHidden/>
            <w:color w:val="000000" w:themeColor="text1"/>
            <w:sz w:val="28"/>
            <w:szCs w:val="28"/>
          </w:rPr>
          <w:fldChar w:fldCharType="separate"/>
        </w:r>
        <w:r w:rsidRPr="00CA438B">
          <w:rPr>
            <w:noProof/>
            <w:webHidden/>
            <w:color w:val="000000" w:themeColor="text1"/>
            <w:sz w:val="28"/>
            <w:szCs w:val="28"/>
          </w:rPr>
          <w:t>3</w:t>
        </w:r>
        <w:r w:rsidRPr="00CA438B">
          <w:rPr>
            <w:noProof/>
            <w:webHidden/>
            <w:color w:val="000000" w:themeColor="text1"/>
            <w:sz w:val="28"/>
            <w:szCs w:val="28"/>
          </w:rPr>
          <w:fldChar w:fldCharType="end"/>
        </w:r>
      </w:hyperlink>
    </w:p>
    <w:p w14:paraId="0A9FBFA1" w14:textId="77777777" w:rsidR="00CA438B" w:rsidRPr="00CA438B" w:rsidRDefault="00CA438B" w:rsidP="00CA438B">
      <w:pPr>
        <w:pStyle w:val="TOC1"/>
        <w:tabs>
          <w:tab w:val="right" w:pos="10194"/>
        </w:tabs>
        <w:rPr>
          <w:noProof/>
          <w:color w:val="000000" w:themeColor="text1"/>
          <w:sz w:val="28"/>
          <w:szCs w:val="28"/>
        </w:rPr>
      </w:pPr>
      <w:hyperlink w:anchor="_Toc202861062" w:history="1">
        <w:r w:rsidRPr="00CA438B">
          <w:rPr>
            <w:rStyle w:val="Hyperlink"/>
            <w:noProof/>
            <w:color w:val="000000" w:themeColor="text1"/>
            <w:sz w:val="28"/>
            <w:szCs w:val="28"/>
            <w:u w:val="none"/>
          </w:rPr>
          <w:t>Executive summary</w:t>
        </w:r>
        <w:r w:rsidRPr="00CA438B">
          <w:rPr>
            <w:noProof/>
            <w:webHidden/>
            <w:color w:val="000000" w:themeColor="text1"/>
            <w:sz w:val="28"/>
            <w:szCs w:val="28"/>
          </w:rPr>
          <w:tab/>
        </w:r>
        <w:r w:rsidRPr="00CA438B">
          <w:rPr>
            <w:noProof/>
            <w:webHidden/>
            <w:color w:val="000000" w:themeColor="text1"/>
            <w:sz w:val="28"/>
            <w:szCs w:val="28"/>
          </w:rPr>
          <w:fldChar w:fldCharType="begin"/>
        </w:r>
        <w:r w:rsidRPr="00CA438B">
          <w:rPr>
            <w:noProof/>
            <w:webHidden/>
            <w:color w:val="000000" w:themeColor="text1"/>
            <w:sz w:val="28"/>
            <w:szCs w:val="28"/>
          </w:rPr>
          <w:instrText xml:space="preserve"> PAGEREF _Toc202861062 \h </w:instrText>
        </w:r>
        <w:r w:rsidRPr="00CA438B">
          <w:rPr>
            <w:noProof/>
            <w:webHidden/>
            <w:color w:val="000000" w:themeColor="text1"/>
            <w:sz w:val="28"/>
            <w:szCs w:val="28"/>
          </w:rPr>
        </w:r>
        <w:r w:rsidRPr="00CA438B">
          <w:rPr>
            <w:noProof/>
            <w:webHidden/>
            <w:color w:val="000000" w:themeColor="text1"/>
            <w:sz w:val="28"/>
            <w:szCs w:val="28"/>
          </w:rPr>
          <w:fldChar w:fldCharType="separate"/>
        </w:r>
        <w:r w:rsidRPr="00CA438B">
          <w:rPr>
            <w:noProof/>
            <w:webHidden/>
            <w:color w:val="000000" w:themeColor="text1"/>
            <w:sz w:val="28"/>
            <w:szCs w:val="28"/>
          </w:rPr>
          <w:t>4</w:t>
        </w:r>
        <w:r w:rsidRPr="00CA438B">
          <w:rPr>
            <w:noProof/>
            <w:webHidden/>
            <w:color w:val="000000" w:themeColor="text1"/>
            <w:sz w:val="28"/>
            <w:szCs w:val="28"/>
          </w:rPr>
          <w:fldChar w:fldCharType="end"/>
        </w:r>
      </w:hyperlink>
    </w:p>
    <w:p w14:paraId="2D873D8F" w14:textId="77777777" w:rsidR="00CA438B" w:rsidRPr="00CA438B" w:rsidRDefault="00CA438B" w:rsidP="00CA438B">
      <w:pPr>
        <w:pStyle w:val="TOC1"/>
        <w:tabs>
          <w:tab w:val="right" w:pos="10194"/>
        </w:tabs>
        <w:rPr>
          <w:noProof/>
          <w:color w:val="000000" w:themeColor="text1"/>
          <w:sz w:val="28"/>
          <w:szCs w:val="28"/>
        </w:rPr>
      </w:pPr>
      <w:hyperlink w:anchor="_Toc202861063" w:history="1">
        <w:r w:rsidRPr="00CA438B">
          <w:rPr>
            <w:rStyle w:val="Hyperlink"/>
            <w:noProof/>
            <w:color w:val="000000" w:themeColor="text1"/>
            <w:sz w:val="28"/>
            <w:szCs w:val="28"/>
            <w:u w:val="none"/>
          </w:rPr>
          <w:t>01 The affordability challenge</w:t>
        </w:r>
        <w:r w:rsidRPr="00CA438B">
          <w:rPr>
            <w:noProof/>
            <w:webHidden/>
            <w:color w:val="000000" w:themeColor="text1"/>
            <w:sz w:val="28"/>
            <w:szCs w:val="28"/>
          </w:rPr>
          <w:tab/>
        </w:r>
        <w:r w:rsidRPr="00CA438B">
          <w:rPr>
            <w:noProof/>
            <w:webHidden/>
            <w:color w:val="000000" w:themeColor="text1"/>
            <w:sz w:val="28"/>
            <w:szCs w:val="28"/>
          </w:rPr>
          <w:fldChar w:fldCharType="begin"/>
        </w:r>
        <w:r w:rsidRPr="00CA438B">
          <w:rPr>
            <w:noProof/>
            <w:webHidden/>
            <w:color w:val="000000" w:themeColor="text1"/>
            <w:sz w:val="28"/>
            <w:szCs w:val="28"/>
          </w:rPr>
          <w:instrText xml:space="preserve"> PAGEREF _Toc202861063 \h </w:instrText>
        </w:r>
        <w:r w:rsidRPr="00CA438B">
          <w:rPr>
            <w:noProof/>
            <w:webHidden/>
            <w:color w:val="000000" w:themeColor="text1"/>
            <w:sz w:val="28"/>
            <w:szCs w:val="28"/>
          </w:rPr>
        </w:r>
        <w:r w:rsidRPr="00CA438B">
          <w:rPr>
            <w:noProof/>
            <w:webHidden/>
            <w:color w:val="000000" w:themeColor="text1"/>
            <w:sz w:val="28"/>
            <w:szCs w:val="28"/>
          </w:rPr>
          <w:fldChar w:fldCharType="separate"/>
        </w:r>
        <w:r w:rsidRPr="00CA438B">
          <w:rPr>
            <w:noProof/>
            <w:webHidden/>
            <w:color w:val="000000" w:themeColor="text1"/>
            <w:sz w:val="28"/>
            <w:szCs w:val="28"/>
          </w:rPr>
          <w:t>10</w:t>
        </w:r>
        <w:r w:rsidRPr="00CA438B">
          <w:rPr>
            <w:noProof/>
            <w:webHidden/>
            <w:color w:val="000000" w:themeColor="text1"/>
            <w:sz w:val="28"/>
            <w:szCs w:val="28"/>
          </w:rPr>
          <w:fldChar w:fldCharType="end"/>
        </w:r>
      </w:hyperlink>
    </w:p>
    <w:p w14:paraId="38516806" w14:textId="77777777" w:rsidR="00CA438B" w:rsidRPr="00CA438B" w:rsidRDefault="00CA438B" w:rsidP="00CA438B">
      <w:pPr>
        <w:pStyle w:val="TOC1"/>
        <w:tabs>
          <w:tab w:val="right" w:pos="10194"/>
        </w:tabs>
        <w:rPr>
          <w:noProof/>
          <w:color w:val="000000" w:themeColor="text1"/>
          <w:sz w:val="28"/>
          <w:szCs w:val="28"/>
        </w:rPr>
      </w:pPr>
      <w:hyperlink w:anchor="_Toc202861064" w:history="1">
        <w:r w:rsidRPr="00CA438B">
          <w:rPr>
            <w:rStyle w:val="Hyperlink"/>
            <w:noProof/>
            <w:color w:val="000000" w:themeColor="text1"/>
            <w:sz w:val="28"/>
            <w:szCs w:val="28"/>
            <w:u w:val="none"/>
          </w:rPr>
          <w:t>02 Method of targeted bill support</w:t>
        </w:r>
        <w:r w:rsidRPr="00CA438B">
          <w:rPr>
            <w:noProof/>
            <w:webHidden/>
            <w:color w:val="000000" w:themeColor="text1"/>
            <w:sz w:val="28"/>
            <w:szCs w:val="28"/>
          </w:rPr>
          <w:tab/>
        </w:r>
        <w:r w:rsidRPr="00CA438B">
          <w:rPr>
            <w:noProof/>
            <w:webHidden/>
            <w:color w:val="000000" w:themeColor="text1"/>
            <w:sz w:val="28"/>
            <w:szCs w:val="28"/>
          </w:rPr>
          <w:fldChar w:fldCharType="begin"/>
        </w:r>
        <w:r w:rsidRPr="00CA438B">
          <w:rPr>
            <w:noProof/>
            <w:webHidden/>
            <w:color w:val="000000" w:themeColor="text1"/>
            <w:sz w:val="28"/>
            <w:szCs w:val="28"/>
          </w:rPr>
          <w:instrText xml:space="preserve"> PAGEREF _Toc202861064 \h </w:instrText>
        </w:r>
        <w:r w:rsidRPr="00CA438B">
          <w:rPr>
            <w:noProof/>
            <w:webHidden/>
            <w:color w:val="000000" w:themeColor="text1"/>
            <w:sz w:val="28"/>
            <w:szCs w:val="28"/>
          </w:rPr>
        </w:r>
        <w:r w:rsidRPr="00CA438B">
          <w:rPr>
            <w:noProof/>
            <w:webHidden/>
            <w:color w:val="000000" w:themeColor="text1"/>
            <w:sz w:val="28"/>
            <w:szCs w:val="28"/>
          </w:rPr>
          <w:fldChar w:fldCharType="separate"/>
        </w:r>
        <w:r w:rsidRPr="00CA438B">
          <w:rPr>
            <w:noProof/>
            <w:webHidden/>
            <w:color w:val="000000" w:themeColor="text1"/>
            <w:sz w:val="28"/>
            <w:szCs w:val="28"/>
          </w:rPr>
          <w:t>27</w:t>
        </w:r>
        <w:r w:rsidRPr="00CA438B">
          <w:rPr>
            <w:noProof/>
            <w:webHidden/>
            <w:color w:val="000000" w:themeColor="text1"/>
            <w:sz w:val="28"/>
            <w:szCs w:val="28"/>
          </w:rPr>
          <w:fldChar w:fldCharType="end"/>
        </w:r>
      </w:hyperlink>
    </w:p>
    <w:p w14:paraId="26107630" w14:textId="77777777" w:rsidR="00CA438B" w:rsidRPr="00CA438B" w:rsidRDefault="00CA438B" w:rsidP="00CA438B">
      <w:pPr>
        <w:pStyle w:val="TOC1"/>
        <w:tabs>
          <w:tab w:val="right" w:pos="10194"/>
        </w:tabs>
        <w:rPr>
          <w:noProof/>
          <w:color w:val="000000" w:themeColor="text1"/>
          <w:sz w:val="28"/>
          <w:szCs w:val="28"/>
        </w:rPr>
      </w:pPr>
      <w:hyperlink w:anchor="_Toc202861065" w:history="1">
        <w:r w:rsidRPr="00CA438B">
          <w:rPr>
            <w:rStyle w:val="Hyperlink"/>
            <w:noProof/>
            <w:color w:val="000000" w:themeColor="text1"/>
            <w:sz w:val="28"/>
            <w:szCs w:val="28"/>
            <w:u w:val="none"/>
          </w:rPr>
          <w:t>03 Designing targeted bill support</w:t>
        </w:r>
        <w:r w:rsidRPr="00CA438B">
          <w:rPr>
            <w:noProof/>
            <w:webHidden/>
            <w:color w:val="000000" w:themeColor="text1"/>
            <w:sz w:val="28"/>
            <w:szCs w:val="28"/>
          </w:rPr>
          <w:tab/>
        </w:r>
        <w:r w:rsidRPr="00CA438B">
          <w:rPr>
            <w:noProof/>
            <w:webHidden/>
            <w:color w:val="000000" w:themeColor="text1"/>
            <w:sz w:val="28"/>
            <w:szCs w:val="28"/>
          </w:rPr>
          <w:fldChar w:fldCharType="begin"/>
        </w:r>
        <w:r w:rsidRPr="00CA438B">
          <w:rPr>
            <w:noProof/>
            <w:webHidden/>
            <w:color w:val="000000" w:themeColor="text1"/>
            <w:sz w:val="28"/>
            <w:szCs w:val="28"/>
          </w:rPr>
          <w:instrText xml:space="preserve"> PAGEREF _Toc202861065 \h </w:instrText>
        </w:r>
        <w:r w:rsidRPr="00CA438B">
          <w:rPr>
            <w:noProof/>
            <w:webHidden/>
            <w:color w:val="000000" w:themeColor="text1"/>
            <w:sz w:val="28"/>
            <w:szCs w:val="28"/>
          </w:rPr>
        </w:r>
        <w:r w:rsidRPr="00CA438B">
          <w:rPr>
            <w:noProof/>
            <w:webHidden/>
            <w:color w:val="000000" w:themeColor="text1"/>
            <w:sz w:val="28"/>
            <w:szCs w:val="28"/>
          </w:rPr>
          <w:fldChar w:fldCharType="separate"/>
        </w:r>
        <w:r w:rsidRPr="00CA438B">
          <w:rPr>
            <w:noProof/>
            <w:webHidden/>
            <w:color w:val="000000" w:themeColor="text1"/>
            <w:sz w:val="28"/>
            <w:szCs w:val="28"/>
          </w:rPr>
          <w:t>39</w:t>
        </w:r>
        <w:r w:rsidRPr="00CA438B">
          <w:rPr>
            <w:noProof/>
            <w:webHidden/>
            <w:color w:val="000000" w:themeColor="text1"/>
            <w:sz w:val="28"/>
            <w:szCs w:val="28"/>
          </w:rPr>
          <w:fldChar w:fldCharType="end"/>
        </w:r>
      </w:hyperlink>
    </w:p>
    <w:p w14:paraId="6092D844" w14:textId="77777777" w:rsidR="00CA438B" w:rsidRPr="00CA438B" w:rsidRDefault="00CA438B" w:rsidP="00CA438B">
      <w:pPr>
        <w:pStyle w:val="TOC1"/>
        <w:tabs>
          <w:tab w:val="right" w:pos="10194"/>
        </w:tabs>
        <w:rPr>
          <w:noProof/>
          <w:color w:val="000000" w:themeColor="text1"/>
        </w:rPr>
      </w:pPr>
      <w:hyperlink w:anchor="_Toc202861066" w:history="1">
        <w:r w:rsidRPr="00CA438B">
          <w:rPr>
            <w:rStyle w:val="Hyperlink"/>
            <w:noProof/>
            <w:color w:val="000000" w:themeColor="text1"/>
            <w:sz w:val="28"/>
            <w:szCs w:val="28"/>
            <w:u w:val="none"/>
          </w:rPr>
          <w:t>04 Finding households in need</w:t>
        </w:r>
        <w:r w:rsidRPr="00CA438B">
          <w:rPr>
            <w:noProof/>
            <w:webHidden/>
            <w:color w:val="000000" w:themeColor="text1"/>
            <w:sz w:val="28"/>
            <w:szCs w:val="28"/>
          </w:rPr>
          <w:tab/>
        </w:r>
        <w:r w:rsidRPr="00CA438B">
          <w:rPr>
            <w:noProof/>
            <w:webHidden/>
            <w:color w:val="000000" w:themeColor="text1"/>
            <w:sz w:val="28"/>
            <w:szCs w:val="28"/>
          </w:rPr>
          <w:fldChar w:fldCharType="begin"/>
        </w:r>
        <w:r w:rsidRPr="00CA438B">
          <w:rPr>
            <w:noProof/>
            <w:webHidden/>
            <w:color w:val="000000" w:themeColor="text1"/>
            <w:sz w:val="28"/>
            <w:szCs w:val="28"/>
          </w:rPr>
          <w:instrText xml:space="preserve"> PAGEREF _Toc202861066 \h </w:instrText>
        </w:r>
        <w:r w:rsidRPr="00CA438B">
          <w:rPr>
            <w:noProof/>
            <w:webHidden/>
            <w:color w:val="000000" w:themeColor="text1"/>
            <w:sz w:val="28"/>
            <w:szCs w:val="28"/>
          </w:rPr>
        </w:r>
        <w:r w:rsidRPr="00CA438B">
          <w:rPr>
            <w:noProof/>
            <w:webHidden/>
            <w:color w:val="000000" w:themeColor="text1"/>
            <w:sz w:val="28"/>
            <w:szCs w:val="28"/>
          </w:rPr>
          <w:fldChar w:fldCharType="separate"/>
        </w:r>
        <w:r w:rsidRPr="00CA438B">
          <w:rPr>
            <w:noProof/>
            <w:webHidden/>
            <w:color w:val="000000" w:themeColor="text1"/>
            <w:sz w:val="28"/>
            <w:szCs w:val="28"/>
          </w:rPr>
          <w:t>51</w:t>
        </w:r>
        <w:r w:rsidRPr="00CA438B">
          <w:rPr>
            <w:noProof/>
            <w:webHidden/>
            <w:color w:val="000000" w:themeColor="text1"/>
            <w:sz w:val="28"/>
            <w:szCs w:val="28"/>
          </w:rPr>
          <w:fldChar w:fldCharType="end"/>
        </w:r>
      </w:hyperlink>
    </w:p>
    <w:p w14:paraId="3D8AA0E1" w14:textId="14DBCC2C" w:rsidR="00CA438B" w:rsidRPr="00CA438B" w:rsidRDefault="00CA438B" w:rsidP="00CA438B">
      <w:pPr>
        <w:rPr>
          <w:color w:val="000000" w:themeColor="text1"/>
        </w:rPr>
      </w:pPr>
      <w:hyperlink w:anchor="_Toc202861067" w:history="1">
        <w:r w:rsidRPr="00CA438B">
          <w:rPr>
            <w:rStyle w:val="Hyperlink"/>
            <w:noProof/>
            <w:color w:val="000000" w:themeColor="text1"/>
            <w:sz w:val="28"/>
            <w:szCs w:val="28"/>
            <w:u w:val="none"/>
          </w:rPr>
          <w:t>Annex</w:t>
        </w:r>
        <w:r w:rsidRPr="00CA438B">
          <w:rPr>
            <w:noProof/>
            <w:webHidden/>
            <w:color w:val="000000" w:themeColor="text1"/>
            <w:sz w:val="28"/>
            <w:szCs w:val="28"/>
          </w:rPr>
          <w:tab/>
          <w:t xml:space="preserve">                                                                                                            </w:t>
        </w:r>
        <w:r w:rsidRPr="00CA438B">
          <w:rPr>
            <w:noProof/>
            <w:webHidden/>
            <w:color w:val="000000" w:themeColor="text1"/>
            <w:sz w:val="28"/>
            <w:szCs w:val="28"/>
          </w:rPr>
          <w:fldChar w:fldCharType="begin"/>
        </w:r>
        <w:r w:rsidRPr="00CA438B">
          <w:rPr>
            <w:noProof/>
            <w:webHidden/>
            <w:color w:val="000000" w:themeColor="text1"/>
            <w:sz w:val="28"/>
            <w:szCs w:val="28"/>
          </w:rPr>
          <w:instrText xml:space="preserve"> PAGEREF _Toc202861067 \h </w:instrText>
        </w:r>
        <w:r w:rsidRPr="00CA438B">
          <w:rPr>
            <w:noProof/>
            <w:webHidden/>
            <w:color w:val="000000" w:themeColor="text1"/>
            <w:sz w:val="28"/>
            <w:szCs w:val="28"/>
          </w:rPr>
        </w:r>
        <w:r w:rsidRPr="00CA438B">
          <w:rPr>
            <w:noProof/>
            <w:webHidden/>
            <w:color w:val="000000" w:themeColor="text1"/>
            <w:sz w:val="28"/>
            <w:szCs w:val="28"/>
          </w:rPr>
          <w:fldChar w:fldCharType="separate"/>
        </w:r>
        <w:r w:rsidRPr="00CA438B">
          <w:rPr>
            <w:noProof/>
            <w:webHidden/>
            <w:color w:val="000000" w:themeColor="text1"/>
            <w:sz w:val="28"/>
            <w:szCs w:val="28"/>
          </w:rPr>
          <w:t>59</w:t>
        </w:r>
        <w:r w:rsidRPr="00CA438B">
          <w:rPr>
            <w:noProof/>
            <w:webHidden/>
            <w:color w:val="000000" w:themeColor="text1"/>
            <w:sz w:val="28"/>
            <w:szCs w:val="28"/>
          </w:rPr>
          <w:fldChar w:fldCharType="end"/>
        </w:r>
      </w:hyperlink>
      <w:bookmarkStart w:id="2" w:name="_Toc202861061"/>
    </w:p>
    <w:p w14:paraId="7017FA96" w14:textId="77777777" w:rsidR="00CA438B" w:rsidRDefault="00CA438B">
      <w:r>
        <w:br w:type="page"/>
      </w:r>
    </w:p>
    <w:p w14:paraId="415E8513" w14:textId="0A4ABBEC" w:rsidR="001A5E58" w:rsidRDefault="00F84F72" w:rsidP="00CA438B">
      <w:pPr>
        <w:rPr>
          <w:sz w:val="78"/>
          <w:szCs w:val="78"/>
        </w:rPr>
      </w:pPr>
      <w:r>
        <w:rPr>
          <w:sz w:val="78"/>
          <w:szCs w:val="78"/>
        </w:rPr>
        <w:lastRenderedPageBreak/>
        <w:t>Acknowledgements</w:t>
      </w:r>
      <w:bookmarkEnd w:id="2"/>
    </w:p>
    <w:p w14:paraId="6223FD85" w14:textId="23DFBB56" w:rsidR="001A5E58" w:rsidRDefault="1536D120" w:rsidP="7E2D8D79">
      <w:pPr>
        <w:spacing w:before="200" w:after="120" w:line="348" w:lineRule="auto"/>
      </w:pPr>
      <w:r w:rsidRPr="29468D37">
        <w:rPr>
          <w:sz w:val="28"/>
          <w:szCs w:val="28"/>
        </w:rPr>
        <w:t xml:space="preserve">This work was supported by a steering group chaired by Scope, comprising Age UK, EON, Fair </w:t>
      </w:r>
      <w:r w:rsidR="69D5E138" w:rsidRPr="01B6AD7B">
        <w:rPr>
          <w:sz w:val="28"/>
          <w:szCs w:val="28"/>
        </w:rPr>
        <w:t>B</w:t>
      </w:r>
      <w:r w:rsidR="63798977" w:rsidRPr="01B6AD7B">
        <w:rPr>
          <w:sz w:val="28"/>
          <w:szCs w:val="28"/>
        </w:rPr>
        <w:t>y</w:t>
      </w:r>
      <w:r w:rsidRPr="29468D37">
        <w:rPr>
          <w:sz w:val="28"/>
          <w:szCs w:val="28"/>
        </w:rPr>
        <w:t xml:space="preserve"> Design, Independent Age</w:t>
      </w:r>
      <w:r w:rsidR="23094131" w:rsidRPr="29468D37">
        <w:rPr>
          <w:sz w:val="28"/>
          <w:szCs w:val="28"/>
        </w:rPr>
        <w:t xml:space="preserve">, </w:t>
      </w:r>
      <w:r w:rsidRPr="29468D37">
        <w:rPr>
          <w:sz w:val="28"/>
          <w:szCs w:val="28"/>
        </w:rPr>
        <w:t>Mencap</w:t>
      </w:r>
      <w:r w:rsidR="0D818E89" w:rsidRPr="29468D37">
        <w:rPr>
          <w:sz w:val="28"/>
          <w:szCs w:val="28"/>
        </w:rPr>
        <w:t xml:space="preserve"> and Sense</w:t>
      </w:r>
      <w:r w:rsidRPr="29468D37">
        <w:rPr>
          <w:sz w:val="28"/>
          <w:szCs w:val="28"/>
        </w:rPr>
        <w:t xml:space="preserve">. </w:t>
      </w:r>
      <w:r w:rsidR="00AD161C" w:rsidRPr="00AD161C">
        <w:rPr>
          <w:sz w:val="28"/>
          <w:szCs w:val="28"/>
        </w:rPr>
        <w:t>This report and its recommendations are entirely the authors' work. They kept editorial control during the project.</w:t>
      </w:r>
      <w:r w:rsidRPr="29468D37">
        <w:rPr>
          <w:sz w:val="28"/>
          <w:szCs w:val="28"/>
        </w:rPr>
        <w:t xml:space="preserve"> We thank the steering group members and the many stakeholders who engaged with the research project and shared their views.</w:t>
      </w:r>
    </w:p>
    <w:tbl>
      <w:tblPr>
        <w:tblW w:w="10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10204"/>
      </w:tblGrid>
      <w:tr w:rsidR="001A5E58" w14:paraId="3ACC6E21" w14:textId="77777777" w:rsidTr="1922B4F2">
        <w:trPr>
          <w:trHeight w:val="4715"/>
        </w:trPr>
        <w:tc>
          <w:tcPr>
            <w:tcW w:w="10204" w:type="dxa"/>
            <w:tcMar>
              <w:top w:w="100" w:type="dxa"/>
              <w:left w:w="100" w:type="dxa"/>
              <w:bottom w:w="100" w:type="dxa"/>
              <w:right w:w="100" w:type="dxa"/>
            </w:tcMar>
          </w:tcPr>
          <w:p w14:paraId="19C1CC6F" w14:textId="5E3909CF" w:rsidR="001A5E58" w:rsidRDefault="00A70A6D" w:rsidP="29468D37">
            <w:pPr>
              <w:pStyle w:val="Heading4"/>
              <w:widowControl w:val="0"/>
              <w:spacing w:after="0"/>
            </w:pPr>
            <w:r>
              <w:rPr>
                <w:noProof/>
              </w:rPr>
              <w:drawing>
                <wp:anchor distT="0" distB="0" distL="114300" distR="114300" simplePos="0" relativeHeight="251658240" behindDoc="0" locked="0" layoutInCell="1" allowOverlap="1" wp14:anchorId="556E4593" wp14:editId="39E5FC07">
                  <wp:simplePos x="0" y="0"/>
                  <wp:positionH relativeFrom="column">
                    <wp:posOffset>3552825</wp:posOffset>
                  </wp:positionH>
                  <wp:positionV relativeFrom="paragraph">
                    <wp:posOffset>2181225</wp:posOffset>
                  </wp:positionV>
                  <wp:extent cx="1255309" cy="1255309"/>
                  <wp:effectExtent l="0" t="0" r="2540" b="2540"/>
                  <wp:wrapThrough wrapText="bothSides">
                    <wp:wrapPolygon edited="0">
                      <wp:start x="7215" y="0"/>
                      <wp:lineTo x="4263" y="1312"/>
                      <wp:lineTo x="656" y="4263"/>
                      <wp:lineTo x="0" y="7215"/>
                      <wp:lineTo x="0" y="13773"/>
                      <wp:lineTo x="328" y="16397"/>
                      <wp:lineTo x="5575" y="20988"/>
                      <wp:lineTo x="7215" y="21316"/>
                      <wp:lineTo x="14101" y="21316"/>
                      <wp:lineTo x="15741" y="20988"/>
                      <wp:lineTo x="20988" y="16397"/>
                      <wp:lineTo x="21316" y="13773"/>
                      <wp:lineTo x="21316" y="7215"/>
                      <wp:lineTo x="20988" y="4591"/>
                      <wp:lineTo x="17053" y="1312"/>
                      <wp:lineTo x="14101" y="0"/>
                      <wp:lineTo x="7215" y="0"/>
                    </wp:wrapPolygon>
                  </wp:wrapThrough>
                  <wp:docPr id="1081461678" name="drawing" descr="S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61678" name="drawing" descr="Sense logo"/>
                          <pic:cNvPicPr/>
                        </pic:nvPicPr>
                        <pic:blipFill>
                          <a:blip r:embed="rId12">
                            <a:extLst>
                              <a:ext uri="{28A0092B-C50C-407E-A947-70E740481C1C}">
                                <a14:useLocalDpi xmlns:a14="http://schemas.microsoft.com/office/drawing/2010/main"/>
                              </a:ext>
                            </a:extLst>
                          </a:blip>
                          <a:stretch>
                            <a:fillRect/>
                          </a:stretch>
                        </pic:blipFill>
                        <pic:spPr>
                          <a:xfrm>
                            <a:off x="0" y="0"/>
                            <a:ext cx="1255309" cy="12553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201DF9B4" wp14:editId="6E477FFC">
                  <wp:simplePos x="0" y="0"/>
                  <wp:positionH relativeFrom="column">
                    <wp:posOffset>1428115</wp:posOffset>
                  </wp:positionH>
                  <wp:positionV relativeFrom="paragraph">
                    <wp:posOffset>2433320</wp:posOffset>
                  </wp:positionV>
                  <wp:extent cx="1609725" cy="779145"/>
                  <wp:effectExtent l="0" t="0" r="9525" b="1905"/>
                  <wp:wrapTight wrapText="bothSides">
                    <wp:wrapPolygon edited="0">
                      <wp:start x="2556" y="0"/>
                      <wp:lineTo x="0" y="3697"/>
                      <wp:lineTo x="0" y="13731"/>
                      <wp:lineTo x="1022" y="16900"/>
                      <wp:lineTo x="4090" y="21125"/>
                      <wp:lineTo x="4346" y="21125"/>
                      <wp:lineTo x="6902" y="21125"/>
                      <wp:lineTo x="7157" y="21125"/>
                      <wp:lineTo x="8180" y="16900"/>
                      <wp:lineTo x="21472" y="14787"/>
                      <wp:lineTo x="21472" y="6337"/>
                      <wp:lineTo x="6646" y="0"/>
                      <wp:lineTo x="2556" y="0"/>
                    </wp:wrapPolygon>
                  </wp:wrapTight>
                  <wp:docPr id="1380757348" name="drawing" descr="Men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57348" name="drawing" descr="Mencap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725" cy="779145"/>
                          </a:xfrm>
                          <a:prstGeom prst="rect">
                            <a:avLst/>
                          </a:prstGeom>
                        </pic:spPr>
                      </pic:pic>
                    </a:graphicData>
                  </a:graphic>
                </wp:anchor>
              </w:drawing>
            </w:r>
            <w:r>
              <w:rPr>
                <w:noProof/>
              </w:rPr>
              <w:drawing>
                <wp:anchor distT="0" distB="0" distL="114300" distR="114300" simplePos="0" relativeHeight="251658241" behindDoc="1" locked="0" layoutInCell="1" allowOverlap="1" wp14:anchorId="1F17AFD5" wp14:editId="62AE591E">
                  <wp:simplePos x="0" y="0"/>
                  <wp:positionH relativeFrom="column">
                    <wp:posOffset>4380865</wp:posOffset>
                  </wp:positionH>
                  <wp:positionV relativeFrom="paragraph">
                    <wp:posOffset>709295</wp:posOffset>
                  </wp:positionV>
                  <wp:extent cx="1609725" cy="470535"/>
                  <wp:effectExtent l="0" t="0" r="9525" b="5715"/>
                  <wp:wrapTight wrapText="bothSides">
                    <wp:wrapPolygon edited="0">
                      <wp:start x="4857" y="0"/>
                      <wp:lineTo x="3067" y="874"/>
                      <wp:lineTo x="0" y="10494"/>
                      <wp:lineTo x="0" y="15741"/>
                      <wp:lineTo x="2301" y="20988"/>
                      <wp:lineTo x="3067" y="20988"/>
                      <wp:lineTo x="5368" y="20988"/>
                      <wp:lineTo x="18660" y="20988"/>
                      <wp:lineTo x="21472" y="20113"/>
                      <wp:lineTo x="21472" y="5247"/>
                      <wp:lineTo x="18916" y="2623"/>
                      <wp:lineTo x="6646" y="0"/>
                      <wp:lineTo x="4857" y="0"/>
                    </wp:wrapPolygon>
                  </wp:wrapTight>
                  <wp:docPr id="43373962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3962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9725" cy="470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286D582B" wp14:editId="73E95EE2">
                  <wp:simplePos x="0" y="0"/>
                  <wp:positionH relativeFrom="column">
                    <wp:posOffset>199390</wp:posOffset>
                  </wp:positionH>
                  <wp:positionV relativeFrom="paragraph">
                    <wp:posOffset>471170</wp:posOffset>
                  </wp:positionV>
                  <wp:extent cx="1612265" cy="906145"/>
                  <wp:effectExtent l="0" t="0" r="6985" b="8255"/>
                  <wp:wrapThrough wrapText="bothSides">
                    <wp:wrapPolygon edited="0">
                      <wp:start x="0" y="0"/>
                      <wp:lineTo x="0" y="21343"/>
                      <wp:lineTo x="21438" y="21343"/>
                      <wp:lineTo x="21438" y="0"/>
                      <wp:lineTo x="0" y="0"/>
                    </wp:wrapPolygon>
                  </wp:wrapThrough>
                  <wp:docPr id="1059606632" name="drawing" descr="Scope disability cha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06632" name="drawing" descr="Scope disability charity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2265" cy="906145"/>
                          </a:xfrm>
                          <a:prstGeom prst="rect">
                            <a:avLst/>
                          </a:prstGeom>
                        </pic:spPr>
                      </pic:pic>
                    </a:graphicData>
                  </a:graphic>
                </wp:anchor>
              </w:drawing>
            </w:r>
            <w:r>
              <w:rPr>
                <w:noProof/>
              </w:rPr>
              <w:drawing>
                <wp:anchor distT="0" distB="0" distL="114300" distR="114300" simplePos="0" relativeHeight="251658250" behindDoc="0" locked="0" layoutInCell="1" allowOverlap="1" wp14:anchorId="54ECE17D" wp14:editId="69D68CA7">
                  <wp:simplePos x="0" y="0"/>
                  <wp:positionH relativeFrom="column">
                    <wp:posOffset>3447414</wp:posOffset>
                  </wp:positionH>
                  <wp:positionV relativeFrom="paragraph">
                    <wp:posOffset>1461771</wp:posOffset>
                  </wp:positionV>
                  <wp:extent cx="2644573" cy="812800"/>
                  <wp:effectExtent l="0" t="0" r="0" b="0"/>
                  <wp:wrapThrough wrapText="bothSides">
                    <wp:wrapPolygon edited="0">
                      <wp:start x="2334" y="3038"/>
                      <wp:lineTo x="1712" y="4556"/>
                      <wp:lineTo x="934" y="9113"/>
                      <wp:lineTo x="934" y="15188"/>
                      <wp:lineTo x="3579" y="17719"/>
                      <wp:lineTo x="7159" y="18731"/>
                      <wp:lineTo x="8248" y="18731"/>
                      <wp:lineTo x="9337" y="17719"/>
                      <wp:lineTo x="9960" y="15188"/>
                      <wp:lineTo x="9648" y="12150"/>
                      <wp:lineTo x="20075" y="10631"/>
                      <wp:lineTo x="19919" y="4050"/>
                      <wp:lineTo x="4046" y="3038"/>
                      <wp:lineTo x="2334" y="3038"/>
                    </wp:wrapPolygon>
                  </wp:wrapThrough>
                  <wp:docPr id="78029278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9278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5978" cy="8132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0C098FBB" wp14:editId="5F177EB1">
                  <wp:simplePos x="0" y="0"/>
                  <wp:positionH relativeFrom="column">
                    <wp:posOffset>180975</wp:posOffset>
                  </wp:positionH>
                  <wp:positionV relativeFrom="paragraph">
                    <wp:posOffset>1671320</wp:posOffset>
                  </wp:positionV>
                  <wp:extent cx="2985770" cy="469900"/>
                  <wp:effectExtent l="0" t="0" r="5080" b="6350"/>
                  <wp:wrapThrough wrapText="bothSides">
                    <wp:wrapPolygon edited="0">
                      <wp:start x="689" y="0"/>
                      <wp:lineTo x="0" y="4378"/>
                      <wp:lineTo x="0" y="16638"/>
                      <wp:lineTo x="689" y="21016"/>
                      <wp:lineTo x="2618" y="21016"/>
                      <wp:lineTo x="21499" y="19265"/>
                      <wp:lineTo x="21499" y="1751"/>
                      <wp:lineTo x="2618" y="0"/>
                      <wp:lineTo x="689" y="0"/>
                    </wp:wrapPolygon>
                  </wp:wrapThrough>
                  <wp:docPr id="435095535" name="drawing" descr="Fair By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95535" name="drawing" descr="Fair By Design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5770" cy="469900"/>
                          </a:xfrm>
                          <a:prstGeom prst="rect">
                            <a:avLst/>
                          </a:prstGeom>
                        </pic:spPr>
                      </pic:pic>
                    </a:graphicData>
                  </a:graphic>
                </wp:anchor>
              </w:drawing>
            </w:r>
            <w:r>
              <w:rPr>
                <w:noProof/>
              </w:rPr>
              <w:drawing>
                <wp:anchor distT="0" distB="0" distL="114300" distR="114300" simplePos="0" relativeHeight="251658247" behindDoc="0" locked="0" layoutInCell="1" allowOverlap="1" wp14:anchorId="67A9D00D" wp14:editId="5A9D921F">
                  <wp:simplePos x="0" y="0"/>
                  <wp:positionH relativeFrom="column">
                    <wp:posOffset>2296795</wp:posOffset>
                  </wp:positionH>
                  <wp:positionV relativeFrom="paragraph">
                    <wp:posOffset>566420</wp:posOffset>
                  </wp:positionV>
                  <wp:extent cx="1621790" cy="709930"/>
                  <wp:effectExtent l="0" t="0" r="0" b="0"/>
                  <wp:wrapThrough wrapText="bothSides">
                    <wp:wrapPolygon edited="0">
                      <wp:start x="5836" y="0"/>
                      <wp:lineTo x="0" y="5216"/>
                      <wp:lineTo x="0" y="17968"/>
                      <wp:lineTo x="8373" y="20866"/>
                      <wp:lineTo x="11164" y="20866"/>
                      <wp:lineTo x="11925" y="18547"/>
                      <wp:lineTo x="21312" y="18547"/>
                      <wp:lineTo x="21312" y="9853"/>
                      <wp:lineTo x="9388" y="8694"/>
                      <wp:lineTo x="10149" y="3478"/>
                      <wp:lineTo x="8626" y="0"/>
                      <wp:lineTo x="5836" y="0"/>
                    </wp:wrapPolygon>
                  </wp:wrapThrough>
                  <wp:docPr id="355078474" name="drawing"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78474" name="drawing" descr="Age UK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790" cy="709930"/>
                          </a:xfrm>
                          <a:prstGeom prst="rect">
                            <a:avLst/>
                          </a:prstGeom>
                        </pic:spPr>
                      </pic:pic>
                    </a:graphicData>
                  </a:graphic>
                </wp:anchor>
              </w:drawing>
            </w:r>
          </w:p>
        </w:tc>
      </w:tr>
    </w:tbl>
    <w:p w14:paraId="4FA9BD7B" w14:textId="3AFB99B1" w:rsidR="001A5E58" w:rsidRPr="00FA72C7" w:rsidRDefault="3299063D" w:rsidP="65D0F589">
      <w:pPr>
        <w:pStyle w:val="Heading3"/>
        <w:rPr>
          <w:color w:val="3275C8"/>
        </w:rPr>
      </w:pPr>
      <w:bookmarkStart w:id="3" w:name="_9tjljaqfrf2s"/>
      <w:bookmarkEnd w:id="3"/>
      <w:r w:rsidRPr="00FA72C7">
        <w:rPr>
          <w:color w:val="3275C8"/>
        </w:rPr>
        <w:t>Authors</w:t>
      </w:r>
    </w:p>
    <w:p w14:paraId="3DD6FB30" w14:textId="77777777" w:rsidR="001A5E58" w:rsidRDefault="00F84F72" w:rsidP="65D0F589">
      <w:pPr>
        <w:spacing w:before="200" w:after="120"/>
        <w:rPr>
          <w:sz w:val="28"/>
          <w:szCs w:val="28"/>
        </w:rPr>
      </w:pPr>
      <w:r w:rsidRPr="65D0F589">
        <w:rPr>
          <w:sz w:val="28"/>
          <w:szCs w:val="28"/>
        </w:rPr>
        <w:t>Amy Norman</w:t>
      </w:r>
    </w:p>
    <w:p w14:paraId="7B6F42AA" w14:textId="77777777" w:rsidR="001A5E58" w:rsidRDefault="00F84F72" w:rsidP="65D0F589">
      <w:pPr>
        <w:spacing w:before="200" w:after="120"/>
        <w:rPr>
          <w:sz w:val="28"/>
          <w:szCs w:val="28"/>
        </w:rPr>
      </w:pPr>
      <w:r w:rsidRPr="65D0F589">
        <w:rPr>
          <w:sz w:val="28"/>
          <w:szCs w:val="28"/>
        </w:rPr>
        <w:t>Scott Corfe</w:t>
      </w:r>
    </w:p>
    <w:p w14:paraId="765D78FA" w14:textId="77777777" w:rsidR="001A5E58" w:rsidRDefault="00F84F72" w:rsidP="65D0F589">
      <w:pPr>
        <w:spacing w:before="200" w:after="120"/>
        <w:rPr>
          <w:sz w:val="28"/>
          <w:szCs w:val="28"/>
        </w:rPr>
      </w:pPr>
      <w:r w:rsidRPr="65D0F589">
        <w:rPr>
          <w:sz w:val="28"/>
          <w:szCs w:val="28"/>
        </w:rPr>
        <w:t>Ines Wittke</w:t>
      </w:r>
    </w:p>
    <w:p w14:paraId="202F02D7" w14:textId="43293C25" w:rsidR="00BC355E" w:rsidRDefault="00BC355E" w:rsidP="65D0F589">
      <w:pPr>
        <w:spacing w:before="200" w:after="120"/>
        <w:rPr>
          <w:sz w:val="24"/>
          <w:szCs w:val="24"/>
        </w:rPr>
      </w:pPr>
      <w:r w:rsidRPr="65D0F589">
        <w:rPr>
          <w:sz w:val="28"/>
          <w:szCs w:val="28"/>
        </w:rPr>
        <w:t>Jordan Southw</w:t>
      </w:r>
      <w:r w:rsidR="0064531E" w:rsidRPr="65D0F589">
        <w:rPr>
          <w:sz w:val="28"/>
          <w:szCs w:val="28"/>
        </w:rPr>
        <w:t>e</w:t>
      </w:r>
      <w:r w:rsidRPr="65D0F589">
        <w:rPr>
          <w:sz w:val="28"/>
          <w:szCs w:val="28"/>
        </w:rPr>
        <w:t>ll</w:t>
      </w:r>
    </w:p>
    <w:p w14:paraId="7AF70D85" w14:textId="08B7D4D2" w:rsidR="001A5E58" w:rsidRDefault="1536D120">
      <w:pPr>
        <w:pStyle w:val="Heading1"/>
        <w:ind w:left="0" w:firstLine="0"/>
        <w:rPr>
          <w:sz w:val="78"/>
          <w:szCs w:val="78"/>
        </w:rPr>
      </w:pPr>
      <w:bookmarkStart w:id="4" w:name="_Toc202861062"/>
      <w:r w:rsidRPr="7E2D8D79">
        <w:rPr>
          <w:sz w:val="78"/>
          <w:szCs w:val="78"/>
        </w:rPr>
        <w:lastRenderedPageBreak/>
        <w:t>Executive summary</w:t>
      </w:r>
      <w:bookmarkEnd w:id="4"/>
    </w:p>
    <w:p w14:paraId="227BDBE6" w14:textId="51EC2035" w:rsidR="001A5E58" w:rsidRDefault="3B7E6DBF">
      <w:pPr>
        <w:rPr>
          <w:sz w:val="28"/>
          <w:szCs w:val="28"/>
        </w:rPr>
      </w:pPr>
      <w:r w:rsidRPr="1A6DFC8B">
        <w:rPr>
          <w:sz w:val="28"/>
          <w:szCs w:val="28"/>
        </w:rPr>
        <w:t xml:space="preserve">Britain is still living through the aftershocks of the energy crisis. Although wholesale gas prices have eased from their peaks, household energy bills remain over £700 higher than in winter 2021. </w:t>
      </w:r>
      <w:r w:rsidR="00DC5BFF" w:rsidRPr="00DC5BFF">
        <w:rPr>
          <w:sz w:val="28"/>
          <w:szCs w:val="28"/>
        </w:rPr>
        <w:t xml:space="preserve">Households are struggling with ongoing affordability issues during a wider cost of living crisis. About 2 million are in debt or arrears, and up to 6.1 million are facing fuel poverty across the UK. </w:t>
      </w:r>
      <w:r w:rsidR="3A0B95EF" w:rsidRPr="1A6DFC8B">
        <w:rPr>
          <w:sz w:val="28"/>
          <w:szCs w:val="28"/>
        </w:rPr>
        <w:t>A growing fuel poverty gap also deepens the problem, which has</w:t>
      </w:r>
      <w:r w:rsidR="001D4EA2">
        <w:rPr>
          <w:sz w:val="28"/>
          <w:szCs w:val="28"/>
        </w:rPr>
        <w:t xml:space="preserve"> near</w:t>
      </w:r>
      <w:r w:rsidR="000B10D3">
        <w:rPr>
          <w:sz w:val="28"/>
          <w:szCs w:val="28"/>
        </w:rPr>
        <w:t xml:space="preserve">ly </w:t>
      </w:r>
      <w:r w:rsidR="3A0B95EF" w:rsidRPr="1A6DFC8B">
        <w:rPr>
          <w:sz w:val="28"/>
          <w:szCs w:val="28"/>
        </w:rPr>
        <w:t>doubled since 2020 and now stands at over £400 in England.</w:t>
      </w:r>
    </w:p>
    <w:p w14:paraId="7476F909" w14:textId="77777777" w:rsidR="00C00BD0" w:rsidRDefault="000B1706" w:rsidP="1A6DFC8B">
      <w:pPr>
        <w:rPr>
          <w:sz w:val="28"/>
          <w:szCs w:val="28"/>
        </w:rPr>
      </w:pPr>
      <w:r w:rsidRPr="000B1706">
        <w:rPr>
          <w:sz w:val="28"/>
          <w:szCs w:val="28"/>
        </w:rPr>
        <w:t xml:space="preserve">There are several initiatives to help households with energy costs. These include debt repayment schemes, energy efficiency upgrades, and targeted bill support. </w:t>
      </w:r>
      <w:r w:rsidR="001A0AA8" w:rsidRPr="001A0AA8">
        <w:rPr>
          <w:sz w:val="28"/>
          <w:szCs w:val="28"/>
        </w:rPr>
        <w:t>Since the energy crisis, many in the sector now use the term ‘social tariff.’ It refers to various ideas that help vulnerable customers get discounts on their bills.</w:t>
      </w:r>
      <w:r w:rsidR="001A0AA8">
        <w:rPr>
          <w:sz w:val="28"/>
          <w:szCs w:val="28"/>
        </w:rPr>
        <w:t xml:space="preserve"> </w:t>
      </w:r>
      <w:r w:rsidR="006401E2" w:rsidRPr="006401E2">
        <w:rPr>
          <w:sz w:val="28"/>
          <w:szCs w:val="28"/>
        </w:rPr>
        <w:t>This report looks at targeted bill support. This means applying a discount to a customer’s current tariff as a rebate, instead of creating a new tariff structure.</w:t>
      </w:r>
      <w:r w:rsidR="006401E2">
        <w:rPr>
          <w:sz w:val="28"/>
          <w:szCs w:val="28"/>
        </w:rPr>
        <w:t xml:space="preserve"> </w:t>
      </w:r>
      <w:r w:rsidR="497E5335" w:rsidRPr="1A6DFC8B">
        <w:rPr>
          <w:sz w:val="28"/>
          <w:szCs w:val="28"/>
        </w:rPr>
        <w:t xml:space="preserve">This means that customers would still be able to benefit from targeted bill support even if they changed their tariff or supplier. The Warm Home Discount (WHD) is the current primary mechanism for support across Britain. </w:t>
      </w:r>
      <w:r w:rsidR="00C00BD0" w:rsidRPr="00C00BD0">
        <w:rPr>
          <w:sz w:val="28"/>
          <w:szCs w:val="28"/>
        </w:rPr>
        <w:t>But it will expire in April 2026, putting 6 million households at risk unless a better, long-term solution is found.</w:t>
      </w:r>
    </w:p>
    <w:p w14:paraId="185AAD03" w14:textId="1D68110B" w:rsidR="004D21DA" w:rsidRPr="004D21DA" w:rsidRDefault="00487FB8" w:rsidP="004D21DA">
      <w:pPr>
        <w:rPr>
          <w:sz w:val="28"/>
          <w:szCs w:val="28"/>
        </w:rPr>
      </w:pPr>
      <w:r w:rsidRPr="00487FB8">
        <w:rPr>
          <w:sz w:val="28"/>
          <w:szCs w:val="28"/>
        </w:rPr>
        <w:t xml:space="preserve">This report, </w:t>
      </w:r>
      <w:r>
        <w:rPr>
          <w:sz w:val="28"/>
          <w:szCs w:val="28"/>
        </w:rPr>
        <w:t>commissioned</w:t>
      </w:r>
      <w:r w:rsidRPr="00487FB8">
        <w:rPr>
          <w:sz w:val="28"/>
          <w:szCs w:val="28"/>
        </w:rPr>
        <w:t xml:space="preserve"> by a steering group of NGO and industry partners and written by Public First, outlines a clear plan to protect vulnerable energy customers with better targeted bill support.</w:t>
      </w:r>
      <w:r>
        <w:rPr>
          <w:sz w:val="28"/>
          <w:szCs w:val="28"/>
        </w:rPr>
        <w:t xml:space="preserve"> </w:t>
      </w:r>
      <w:r w:rsidRPr="00487FB8">
        <w:rPr>
          <w:sz w:val="28"/>
          <w:szCs w:val="28"/>
        </w:rPr>
        <w:t xml:space="preserve">The report recommends extending and improving the Warm Home Discount after April 2026. </w:t>
      </w:r>
      <w:r w:rsidR="004D21DA" w:rsidRPr="004D21DA">
        <w:rPr>
          <w:sz w:val="28"/>
          <w:szCs w:val="28"/>
        </w:rPr>
        <w:t xml:space="preserve">This payment will give auto-enrolled, tiered support. It </w:t>
      </w:r>
      <w:r w:rsidR="004D21DA">
        <w:rPr>
          <w:sz w:val="28"/>
          <w:szCs w:val="28"/>
        </w:rPr>
        <w:t>should be updated</w:t>
      </w:r>
      <w:r w:rsidR="004D21DA" w:rsidRPr="004D21DA">
        <w:rPr>
          <w:sz w:val="28"/>
          <w:szCs w:val="28"/>
        </w:rPr>
        <w:t xml:space="preserve"> each year</w:t>
      </w:r>
      <w:r w:rsidR="004D21DA">
        <w:rPr>
          <w:sz w:val="28"/>
          <w:szCs w:val="28"/>
        </w:rPr>
        <w:t xml:space="preserve"> </w:t>
      </w:r>
      <w:r w:rsidR="004D21DA" w:rsidRPr="004D21DA">
        <w:rPr>
          <w:sz w:val="28"/>
          <w:szCs w:val="28"/>
        </w:rPr>
        <w:t>based on changes in energy costs.</w:t>
      </w:r>
    </w:p>
    <w:p w14:paraId="05A7F34E" w14:textId="69AC0688" w:rsidR="00720AC3" w:rsidRPr="004C799D" w:rsidRDefault="7013535D" w:rsidP="004D21DA">
      <w:pPr>
        <w:rPr>
          <w:color w:val="3275C8"/>
          <w:sz w:val="32"/>
          <w:szCs w:val="32"/>
        </w:rPr>
      </w:pPr>
      <w:r w:rsidRPr="004C799D">
        <w:rPr>
          <w:color w:val="3275C8"/>
          <w:sz w:val="32"/>
          <w:szCs w:val="32"/>
        </w:rPr>
        <w:t>Understanding the affordability challenge</w:t>
      </w:r>
    </w:p>
    <w:p w14:paraId="0283BF5E" w14:textId="1E1985B1" w:rsidR="00720AC3" w:rsidRPr="00720AC3" w:rsidRDefault="00182E14" w:rsidP="1A6DFC8B">
      <w:pPr>
        <w:rPr>
          <w:sz w:val="28"/>
          <w:szCs w:val="28"/>
        </w:rPr>
      </w:pPr>
      <w:r w:rsidRPr="00182E14">
        <w:rPr>
          <w:sz w:val="28"/>
          <w:szCs w:val="28"/>
        </w:rPr>
        <w:t>Public First analysis shows that low income is the key factor in energy affordability. Nearly 72% of households that spend over 10% of their income on energy bills, after housing costs, are below the poverty line.</w:t>
      </w:r>
      <w:r>
        <w:rPr>
          <w:sz w:val="28"/>
          <w:szCs w:val="28"/>
        </w:rPr>
        <w:t xml:space="preserve"> </w:t>
      </w:r>
      <w:r w:rsidR="1FEC2162" w:rsidRPr="1A6DFC8B">
        <w:rPr>
          <w:sz w:val="28"/>
          <w:szCs w:val="28"/>
        </w:rPr>
        <w:t>Given that the most extreme cases of fuel poverty are, in practice, a reflection of wider poverty, income should be central to the design and targeting of any targeted bill support, ensuring support reaches those facing the greatest strain.</w:t>
      </w:r>
    </w:p>
    <w:p w14:paraId="1374B829" w14:textId="04B45BC7" w:rsidR="00720AC3" w:rsidRPr="00720AC3" w:rsidRDefault="003A0797" w:rsidP="00720AC3">
      <w:pPr>
        <w:rPr>
          <w:sz w:val="28"/>
          <w:szCs w:val="28"/>
        </w:rPr>
      </w:pPr>
      <w:r w:rsidRPr="003A0797">
        <w:rPr>
          <w:sz w:val="28"/>
          <w:szCs w:val="28"/>
        </w:rPr>
        <w:lastRenderedPageBreak/>
        <w:t>Income isn't the only factor. Disabled households are almost twice as likely to face fuel poverty compared to non-disabled ones. This often happens because they have higher energy needs from medical equipment or spend more time at home.</w:t>
      </w:r>
      <w:r>
        <w:rPr>
          <w:sz w:val="28"/>
          <w:szCs w:val="28"/>
        </w:rPr>
        <w:t xml:space="preserve"> </w:t>
      </w:r>
      <w:r w:rsidR="00A2636C" w:rsidRPr="00A2636C">
        <w:rPr>
          <w:sz w:val="28"/>
          <w:szCs w:val="28"/>
        </w:rPr>
        <w:t>Public First analysis shows that disabled households pay £86-£97 more per year for energy than non-disabled households.</w:t>
      </w:r>
      <w:r w:rsidR="00A2636C">
        <w:rPr>
          <w:sz w:val="28"/>
          <w:szCs w:val="28"/>
        </w:rPr>
        <w:t xml:space="preserve"> </w:t>
      </w:r>
      <w:r w:rsidR="497E5335" w:rsidRPr="1A6DFC8B">
        <w:rPr>
          <w:sz w:val="28"/>
          <w:szCs w:val="28"/>
        </w:rPr>
        <w:t xml:space="preserve">Older households (65+) also face higher rates of fuel poverty due to compounding vulnerable circumstances of worse health outcomes. Those paying by standard credit also shoulder additional costs of around £100 per year compared to direct debit customers. </w:t>
      </w:r>
      <w:r w:rsidR="005D0590" w:rsidRPr="005D0590">
        <w:rPr>
          <w:sz w:val="28"/>
          <w:szCs w:val="28"/>
        </w:rPr>
        <w:t>These households can't just “use less” energy to lower their bills. Their higher energy use is essential and needs direct support.</w:t>
      </w:r>
    </w:p>
    <w:p w14:paraId="0AFD94CD" w14:textId="6309A72D" w:rsidR="00517404" w:rsidRDefault="497E5335" w:rsidP="004D4D12">
      <w:pPr>
        <w:rPr>
          <w:sz w:val="28"/>
          <w:szCs w:val="28"/>
        </w:rPr>
      </w:pPr>
      <w:r w:rsidRPr="1A6DFC8B">
        <w:rPr>
          <w:sz w:val="28"/>
          <w:szCs w:val="28"/>
        </w:rPr>
        <w:t xml:space="preserve">Existing schemes, however, do not address these realities. The recent expansion of the WHD eligibility is welcome, now providing 6.1 million British households with £150 payments, up from 3.4 million in 2023/24. </w:t>
      </w:r>
      <w:r w:rsidR="00F7216E" w:rsidRPr="00F7216E">
        <w:rPr>
          <w:sz w:val="28"/>
          <w:szCs w:val="28"/>
        </w:rPr>
        <w:t xml:space="preserve">This expansion doesn't cover disability benefit claimants. </w:t>
      </w:r>
      <w:r w:rsidR="004748D1" w:rsidRPr="004748D1">
        <w:rPr>
          <w:sz w:val="28"/>
          <w:szCs w:val="28"/>
        </w:rPr>
        <w:t>It mainly focuses on welfare eligibility. This means it misses households that don’t receive qualifying benefits but still struggle with affordability.</w:t>
      </w:r>
      <w:r w:rsidR="004748D1">
        <w:rPr>
          <w:sz w:val="28"/>
          <w:szCs w:val="28"/>
        </w:rPr>
        <w:t xml:space="preserve"> </w:t>
      </w:r>
      <w:r w:rsidR="004D4D12" w:rsidRPr="004D4D12">
        <w:rPr>
          <w:sz w:val="28"/>
          <w:szCs w:val="28"/>
        </w:rPr>
        <w:t>Public First's analysis shows that the expanded WHD leaves out more fuel-poor households than it helps</w:t>
      </w:r>
      <w:r w:rsidR="00281A67">
        <w:rPr>
          <w:sz w:val="28"/>
          <w:szCs w:val="28"/>
        </w:rPr>
        <w:t xml:space="preserve">. </w:t>
      </w:r>
      <w:r w:rsidR="00281A67" w:rsidRPr="00281A67">
        <w:rPr>
          <w:sz w:val="28"/>
          <w:szCs w:val="28"/>
        </w:rPr>
        <w:t>Not everyone who gains support is considered fuel poor. Fuel poor means spending more than 10% of household income on energy after housing costs.</w:t>
      </w:r>
      <w:r w:rsidR="004D4D12">
        <w:rPr>
          <w:sz w:val="28"/>
          <w:szCs w:val="28"/>
        </w:rPr>
        <w:t xml:space="preserve"> </w:t>
      </w:r>
      <w:r w:rsidR="00653D62" w:rsidRPr="00653D62">
        <w:rPr>
          <w:sz w:val="28"/>
          <w:szCs w:val="28"/>
        </w:rPr>
        <w:t>About 2.5 million fuel-poor households are not included in the expanded WHD. Most of these, around 2.2 million, are low-income, disabled, or older households, often overlapping.</w:t>
      </w:r>
    </w:p>
    <w:p w14:paraId="55915D89" w14:textId="479C9916" w:rsidR="00E54113" w:rsidRPr="00362D16" w:rsidRDefault="74C5DCC4" w:rsidP="00362D16">
      <w:pPr>
        <w:pStyle w:val="Heading3"/>
        <w:rPr>
          <w:color w:val="3275C8"/>
          <w:sz w:val="32"/>
          <w:szCs w:val="32"/>
        </w:rPr>
      </w:pPr>
      <w:r w:rsidRPr="00362D16">
        <w:rPr>
          <w:color w:val="3275C8"/>
          <w:sz w:val="32"/>
          <w:szCs w:val="32"/>
        </w:rPr>
        <w:t>Finding a better way</w:t>
      </w:r>
    </w:p>
    <w:p w14:paraId="5B7D6152" w14:textId="14200780" w:rsidR="00E54113" w:rsidRPr="00E54113" w:rsidRDefault="00653D62" w:rsidP="00E54113">
      <w:pPr>
        <w:rPr>
          <w:sz w:val="28"/>
          <w:szCs w:val="28"/>
        </w:rPr>
      </w:pPr>
      <w:r w:rsidRPr="00653D62">
        <w:rPr>
          <w:sz w:val="28"/>
          <w:szCs w:val="28"/>
        </w:rPr>
        <w:t>To fill these gaps, Public First looked at three possible models for providing targeted bill support.</w:t>
      </w:r>
      <w:r>
        <w:rPr>
          <w:sz w:val="28"/>
          <w:szCs w:val="28"/>
        </w:rPr>
        <w:t xml:space="preserve"> </w:t>
      </w:r>
      <w:r w:rsidR="000D0DEF">
        <w:rPr>
          <w:sz w:val="28"/>
          <w:szCs w:val="28"/>
        </w:rPr>
        <w:t>The analysis was modelled on the Living Cost and Food Survey – further methodological notes can be found in the annex.</w:t>
      </w:r>
    </w:p>
    <w:p w14:paraId="66D9E75E" w14:textId="77777777" w:rsidR="00E54113" w:rsidRPr="00E54113" w:rsidRDefault="00E54113" w:rsidP="00E54113">
      <w:pPr>
        <w:numPr>
          <w:ilvl w:val="0"/>
          <w:numId w:val="34"/>
        </w:numPr>
        <w:rPr>
          <w:b/>
          <w:bCs/>
          <w:sz w:val="28"/>
          <w:szCs w:val="28"/>
        </w:rPr>
      </w:pPr>
      <w:r w:rsidRPr="00E54113">
        <w:rPr>
          <w:b/>
          <w:bCs/>
          <w:sz w:val="28"/>
          <w:szCs w:val="28"/>
        </w:rPr>
        <w:t xml:space="preserve">A unit-rate discount: </w:t>
      </w:r>
      <w:r w:rsidRPr="00E54113">
        <w:rPr>
          <w:sz w:val="28"/>
          <w:szCs w:val="28"/>
        </w:rPr>
        <w:t>a percentage reduction on the price per unit of energy consumed; </w:t>
      </w:r>
    </w:p>
    <w:p w14:paraId="508DE2DB" w14:textId="77777777" w:rsidR="00E54113" w:rsidRPr="00E54113" w:rsidRDefault="00E54113" w:rsidP="00E54113">
      <w:pPr>
        <w:numPr>
          <w:ilvl w:val="0"/>
          <w:numId w:val="35"/>
        </w:numPr>
        <w:rPr>
          <w:b/>
          <w:bCs/>
          <w:sz w:val="28"/>
          <w:szCs w:val="28"/>
        </w:rPr>
      </w:pPr>
      <w:r w:rsidRPr="00E54113">
        <w:rPr>
          <w:b/>
          <w:bCs/>
          <w:sz w:val="28"/>
          <w:szCs w:val="28"/>
        </w:rPr>
        <w:t xml:space="preserve">A payment-based discount: </w:t>
      </w:r>
      <w:r w:rsidRPr="00E54113">
        <w:rPr>
          <w:sz w:val="28"/>
          <w:szCs w:val="28"/>
        </w:rPr>
        <w:t>fixed annual payments delivered via energy bills; </w:t>
      </w:r>
    </w:p>
    <w:p w14:paraId="6E44C000" w14:textId="77777777" w:rsidR="00E54113" w:rsidRDefault="00E54113" w:rsidP="00E54113">
      <w:pPr>
        <w:numPr>
          <w:ilvl w:val="0"/>
          <w:numId w:val="36"/>
        </w:numPr>
        <w:rPr>
          <w:sz w:val="28"/>
          <w:szCs w:val="28"/>
        </w:rPr>
      </w:pPr>
      <w:r w:rsidRPr="00E54113">
        <w:rPr>
          <w:b/>
          <w:bCs/>
          <w:sz w:val="28"/>
          <w:szCs w:val="28"/>
        </w:rPr>
        <w:t xml:space="preserve">A rising block tariff: </w:t>
      </w:r>
      <w:r w:rsidRPr="00E54113">
        <w:rPr>
          <w:sz w:val="28"/>
          <w:szCs w:val="28"/>
        </w:rPr>
        <w:t>discounts on the first block of energy consumption, with higher rates thereafter. </w:t>
      </w:r>
    </w:p>
    <w:p w14:paraId="7707F90D" w14:textId="495577CA" w:rsidR="00E54113" w:rsidRPr="00E54113" w:rsidRDefault="00E54113" w:rsidP="00E54113">
      <w:pPr>
        <w:rPr>
          <w:sz w:val="28"/>
          <w:szCs w:val="28"/>
        </w:rPr>
      </w:pPr>
      <w:r w:rsidRPr="00E54113">
        <w:rPr>
          <w:sz w:val="28"/>
          <w:szCs w:val="28"/>
        </w:rPr>
        <w:t>The findings demonstrate that:</w:t>
      </w:r>
    </w:p>
    <w:p w14:paraId="37074352" w14:textId="77777777" w:rsidR="00A769AB" w:rsidRDefault="00A769AB" w:rsidP="00E54113">
      <w:pPr>
        <w:numPr>
          <w:ilvl w:val="0"/>
          <w:numId w:val="36"/>
        </w:numPr>
        <w:rPr>
          <w:sz w:val="28"/>
          <w:szCs w:val="28"/>
        </w:rPr>
      </w:pPr>
      <w:r w:rsidRPr="00A769AB">
        <w:rPr>
          <w:sz w:val="28"/>
          <w:szCs w:val="28"/>
        </w:rPr>
        <w:t>A rising block tariff may raise bills for vulnerable customers who use a lot, including the poorest and disabled.</w:t>
      </w:r>
    </w:p>
    <w:p w14:paraId="554E17E2" w14:textId="1DB4AAC0" w:rsidR="00E54113" w:rsidRPr="00E54113" w:rsidRDefault="00E54113" w:rsidP="00E54113">
      <w:pPr>
        <w:numPr>
          <w:ilvl w:val="0"/>
          <w:numId w:val="36"/>
        </w:numPr>
        <w:rPr>
          <w:sz w:val="28"/>
          <w:szCs w:val="28"/>
        </w:rPr>
      </w:pPr>
      <w:r w:rsidRPr="00E54113">
        <w:rPr>
          <w:sz w:val="28"/>
          <w:szCs w:val="28"/>
        </w:rPr>
        <w:t xml:space="preserve">A </w:t>
      </w:r>
      <w:r>
        <w:rPr>
          <w:sz w:val="28"/>
          <w:szCs w:val="28"/>
        </w:rPr>
        <w:t>u</w:t>
      </w:r>
      <w:r w:rsidRPr="00E54113">
        <w:rPr>
          <w:sz w:val="28"/>
          <w:szCs w:val="28"/>
        </w:rPr>
        <w:t xml:space="preserve">nit-rate discount offers deeper support for some but comes at significantly higher costs and tends to deliver less value for </w:t>
      </w:r>
      <w:r w:rsidRPr="00E54113">
        <w:rPr>
          <w:sz w:val="28"/>
          <w:szCs w:val="28"/>
        </w:rPr>
        <w:lastRenderedPageBreak/>
        <w:t>money. </w:t>
      </w:r>
      <w:r w:rsidR="000D0DEF">
        <w:rPr>
          <w:sz w:val="28"/>
          <w:szCs w:val="28"/>
        </w:rPr>
        <w:t xml:space="preserve">Additionally </w:t>
      </w:r>
      <w:r w:rsidR="00083E90">
        <w:rPr>
          <w:sz w:val="28"/>
          <w:szCs w:val="28"/>
        </w:rPr>
        <w:t>unit rate models are</w:t>
      </w:r>
      <w:r w:rsidR="000D0DEF">
        <w:rPr>
          <w:sz w:val="28"/>
          <w:szCs w:val="28"/>
        </w:rPr>
        <w:t xml:space="preserve"> more complex to integrate with an evolving market of dynamic, Time of Use pricing.</w:t>
      </w:r>
    </w:p>
    <w:p w14:paraId="6BB261A9" w14:textId="77777777" w:rsidR="00231390" w:rsidRDefault="74C5DCC4" w:rsidP="00FE01FE">
      <w:pPr>
        <w:numPr>
          <w:ilvl w:val="0"/>
          <w:numId w:val="36"/>
        </w:numPr>
        <w:rPr>
          <w:sz w:val="28"/>
          <w:szCs w:val="28"/>
        </w:rPr>
      </w:pPr>
      <w:r w:rsidRPr="00231390">
        <w:rPr>
          <w:b/>
          <w:bCs/>
          <w:sz w:val="28"/>
          <w:szCs w:val="28"/>
        </w:rPr>
        <w:t xml:space="preserve">A payment-based discount strikes the best balance, lifting more households out of fuel poverty per pound spent. </w:t>
      </w:r>
      <w:r w:rsidR="00231390" w:rsidRPr="00231390">
        <w:rPr>
          <w:sz w:val="28"/>
          <w:szCs w:val="28"/>
        </w:rPr>
        <w:t>A £400 fixed payment, based on WHD eligibility, could reduce fuel poverty similarly to a 30% unit rate discount. However, it would cost about £0.5bn less each year.</w:t>
      </w:r>
    </w:p>
    <w:p w14:paraId="6BAF5C73" w14:textId="46B4DEA7" w:rsidR="00E058E3" w:rsidRDefault="497E5335" w:rsidP="00E54113">
      <w:pPr>
        <w:rPr>
          <w:sz w:val="28"/>
          <w:szCs w:val="28"/>
        </w:rPr>
      </w:pPr>
      <w:r w:rsidRPr="00231390">
        <w:rPr>
          <w:sz w:val="28"/>
          <w:szCs w:val="28"/>
        </w:rPr>
        <w:t xml:space="preserve">Public First also modelled ways in which a payment-based model could overcome the targeting limits of the welfare system. </w:t>
      </w:r>
      <w:r w:rsidR="002C09A2" w:rsidRPr="002C09A2">
        <w:rPr>
          <w:sz w:val="28"/>
          <w:szCs w:val="28"/>
        </w:rPr>
        <w:t>A better model would focus on households based on income and other signs of high energy need. This includes factors like disability, payment type, and energy use, not just benefit receipt.</w:t>
      </w:r>
      <w:r w:rsidR="002C09A2">
        <w:rPr>
          <w:sz w:val="28"/>
          <w:szCs w:val="28"/>
        </w:rPr>
        <w:t xml:space="preserve"> </w:t>
      </w:r>
      <w:r w:rsidR="00644540" w:rsidRPr="00644540">
        <w:rPr>
          <w:sz w:val="28"/>
          <w:szCs w:val="28"/>
        </w:rPr>
        <w:t>Modelling indicates that an income-linked payment could gradually reduce support. It would start at £700 for those with the lowest incomes and extend up to a threshold of £30,000 annual household income.</w:t>
      </w:r>
      <w:r w:rsidR="00644540">
        <w:rPr>
          <w:sz w:val="28"/>
          <w:szCs w:val="28"/>
        </w:rPr>
        <w:t xml:space="preserve"> </w:t>
      </w:r>
      <w:r w:rsidR="0012509A" w:rsidRPr="0012509A">
        <w:rPr>
          <w:sz w:val="28"/>
          <w:szCs w:val="28"/>
        </w:rPr>
        <w:t xml:space="preserve">Adding £100 booster payments for all disabled households and income-eligible standard credit households would give extra help to those facing multiple </w:t>
      </w:r>
      <w:r w:rsidR="0012509A">
        <w:rPr>
          <w:sz w:val="28"/>
          <w:szCs w:val="28"/>
        </w:rPr>
        <w:t>vulnerable circumstances</w:t>
      </w:r>
      <w:r w:rsidR="0012509A" w:rsidRPr="0012509A">
        <w:rPr>
          <w:sz w:val="28"/>
          <w:szCs w:val="28"/>
        </w:rPr>
        <w:t>.</w:t>
      </w:r>
      <w:r w:rsidR="0012509A">
        <w:rPr>
          <w:sz w:val="28"/>
          <w:szCs w:val="28"/>
        </w:rPr>
        <w:t xml:space="preserve"> </w:t>
      </w:r>
      <w:r w:rsidR="00E058E3" w:rsidRPr="00E058E3">
        <w:rPr>
          <w:sz w:val="28"/>
          <w:szCs w:val="28"/>
        </w:rPr>
        <w:t>This scheme will cost £4.1bn and help over a million households escape fuel poverty. About 360,000 of these are older households (65+) and 720,000 are disabled households (not mutually exclusive).</w:t>
      </w:r>
      <w:r w:rsidR="00E058E3">
        <w:rPr>
          <w:sz w:val="28"/>
          <w:szCs w:val="28"/>
        </w:rPr>
        <w:t xml:space="preserve"> </w:t>
      </w:r>
      <w:r w:rsidR="00E058E3" w:rsidRPr="00E058E3">
        <w:rPr>
          <w:sz w:val="28"/>
          <w:szCs w:val="28"/>
        </w:rPr>
        <w:t>Most households eligible for the expanded WHD (70% or 3.6 million) would qualify for this scheme. It would also help an additional 5 million households that don’t currently receive any targeted bill support.</w:t>
      </w:r>
    </w:p>
    <w:p w14:paraId="690A72BD" w14:textId="77777777" w:rsidR="000B2ED6" w:rsidRDefault="000B2ED6" w:rsidP="00E54113">
      <w:pPr>
        <w:rPr>
          <w:sz w:val="28"/>
          <w:szCs w:val="28"/>
        </w:rPr>
      </w:pPr>
      <w:r w:rsidRPr="000B2ED6">
        <w:rPr>
          <w:sz w:val="28"/>
          <w:szCs w:val="28"/>
        </w:rPr>
        <w:t>Policymakers should commit to adjusting support each year. This adjustment could relate to the price cap, the average fuel poverty gap, or other market factors.</w:t>
      </w:r>
    </w:p>
    <w:p w14:paraId="2484719D" w14:textId="7284113E" w:rsidR="003B4CAA" w:rsidRPr="003B4CAA" w:rsidRDefault="00380435" w:rsidP="003B4CAA">
      <w:pPr>
        <w:rPr>
          <w:sz w:val="28"/>
          <w:szCs w:val="28"/>
        </w:rPr>
      </w:pPr>
      <w:r w:rsidRPr="00380435">
        <w:rPr>
          <w:sz w:val="28"/>
          <w:szCs w:val="28"/>
        </w:rPr>
        <w:t xml:space="preserve">How support is funded also matters. </w:t>
      </w:r>
      <w:r w:rsidR="000B2ED6" w:rsidRPr="000B2ED6">
        <w:rPr>
          <w:sz w:val="28"/>
          <w:szCs w:val="28"/>
        </w:rPr>
        <w:t>A fully government-funded bill discount scheme is better. It's more progressive through the tax system than through bills.</w:t>
      </w:r>
      <w:r w:rsidRPr="00380435">
        <w:rPr>
          <w:sz w:val="28"/>
          <w:szCs w:val="28"/>
        </w:rPr>
        <w:t xml:space="preserve"> </w:t>
      </w:r>
      <w:r w:rsidR="008A68A7" w:rsidRPr="008A68A7">
        <w:rPr>
          <w:sz w:val="28"/>
          <w:szCs w:val="28"/>
        </w:rPr>
        <w:t>Fiscal limits on public spending restrict the size, generosity, and feasibility of a targeted bill support scheme.</w:t>
      </w:r>
      <w:r w:rsidR="008A68A7">
        <w:rPr>
          <w:sz w:val="28"/>
          <w:szCs w:val="28"/>
        </w:rPr>
        <w:t xml:space="preserve"> </w:t>
      </w:r>
      <w:r w:rsidR="003B4CAA" w:rsidRPr="003B4CAA">
        <w:rPr>
          <w:sz w:val="28"/>
          <w:szCs w:val="28"/>
        </w:rPr>
        <w:t>Policymakers </w:t>
      </w:r>
      <w:r w:rsidR="003B4CAA">
        <w:rPr>
          <w:sz w:val="28"/>
          <w:szCs w:val="28"/>
        </w:rPr>
        <w:t xml:space="preserve">should consider </w:t>
      </w:r>
      <w:r w:rsidR="003B4CAA" w:rsidRPr="003B4CAA">
        <w:rPr>
          <w:sz w:val="28"/>
          <w:szCs w:val="28"/>
        </w:rPr>
        <w:t>a mixed funding approach. This would be partly funded by taxpayers and billpayers.</w:t>
      </w:r>
    </w:p>
    <w:p w14:paraId="5E9590DF" w14:textId="080750E1" w:rsidR="00380435" w:rsidRDefault="00380435" w:rsidP="00E54113">
      <w:pPr>
        <w:rPr>
          <w:sz w:val="28"/>
          <w:szCs w:val="28"/>
        </w:rPr>
      </w:pPr>
    </w:p>
    <w:p w14:paraId="04348DF6" w14:textId="4AD48A8F" w:rsidR="000D0DEF" w:rsidRPr="00362D16" w:rsidRDefault="3081CD81" w:rsidP="00362D16">
      <w:pPr>
        <w:pStyle w:val="Heading3"/>
        <w:rPr>
          <w:color w:val="3275C8"/>
          <w:sz w:val="32"/>
          <w:szCs w:val="32"/>
        </w:rPr>
      </w:pPr>
      <w:r w:rsidRPr="00362D16">
        <w:rPr>
          <w:color w:val="3275C8"/>
          <w:sz w:val="32"/>
          <w:szCs w:val="32"/>
        </w:rPr>
        <w:t>How to deliver support</w:t>
      </w:r>
    </w:p>
    <w:p w14:paraId="1A1B6477" w14:textId="1121D16B" w:rsidR="004F3A9B" w:rsidRDefault="00BE4E6C" w:rsidP="00BE4E6C">
      <w:pPr>
        <w:rPr>
          <w:sz w:val="28"/>
          <w:szCs w:val="28"/>
        </w:rPr>
      </w:pPr>
      <w:r w:rsidRPr="00BE4E6C">
        <w:rPr>
          <w:sz w:val="28"/>
          <w:szCs w:val="28"/>
        </w:rPr>
        <w:t>Creating a fairer and more effective bill support system needs fresh methods to identify and assist households in need.</w:t>
      </w:r>
      <w:r>
        <w:rPr>
          <w:sz w:val="28"/>
          <w:szCs w:val="28"/>
        </w:rPr>
        <w:t xml:space="preserve"> </w:t>
      </w:r>
      <w:r w:rsidR="00F144CA" w:rsidRPr="00F144CA">
        <w:rPr>
          <w:sz w:val="28"/>
          <w:szCs w:val="28"/>
        </w:rPr>
        <w:t xml:space="preserve">It will probably take 18 months to two years for the government to create the data matching system. This includes the needed laws and safeguards for a bill payment method that helps vulnerable customers not in the welfare system. </w:t>
      </w:r>
      <w:r w:rsidR="004F3A9B">
        <w:rPr>
          <w:sz w:val="28"/>
          <w:szCs w:val="28"/>
        </w:rPr>
        <w:t>As such, p</w:t>
      </w:r>
      <w:r w:rsidR="004F3A9B" w:rsidRPr="00380435">
        <w:rPr>
          <w:sz w:val="28"/>
          <w:szCs w:val="28"/>
        </w:rPr>
        <w:t>olicymakers should aim for the payments to be implemented by Winter 2027/28. </w:t>
      </w:r>
    </w:p>
    <w:p w14:paraId="2CC49A81" w14:textId="030F341E" w:rsidR="00380435" w:rsidRPr="00380435" w:rsidRDefault="00B270C9" w:rsidP="00380435">
      <w:pPr>
        <w:rPr>
          <w:sz w:val="28"/>
          <w:szCs w:val="28"/>
        </w:rPr>
      </w:pPr>
      <w:r>
        <w:rPr>
          <w:b/>
          <w:bCs/>
          <w:sz w:val="28"/>
          <w:szCs w:val="28"/>
        </w:rPr>
        <w:lastRenderedPageBreak/>
        <w:br/>
      </w:r>
      <w:r w:rsidR="00380435" w:rsidRPr="00380435">
        <w:rPr>
          <w:b/>
          <w:bCs/>
          <w:sz w:val="28"/>
          <w:szCs w:val="28"/>
        </w:rPr>
        <w:t>1. Data integration and matching</w:t>
      </w:r>
      <w:r w:rsidR="004F3A9B">
        <w:rPr>
          <w:b/>
          <w:bCs/>
          <w:sz w:val="28"/>
          <w:szCs w:val="28"/>
        </w:rPr>
        <w:t xml:space="preserve"> to reach households beyond the welfare system</w:t>
      </w:r>
    </w:p>
    <w:p w14:paraId="41EFF9E9" w14:textId="77777777" w:rsidR="00C60A6C" w:rsidRDefault="00C60A6C" w:rsidP="00380435">
      <w:pPr>
        <w:numPr>
          <w:ilvl w:val="0"/>
          <w:numId w:val="42"/>
        </w:numPr>
        <w:rPr>
          <w:sz w:val="28"/>
          <w:szCs w:val="28"/>
        </w:rPr>
      </w:pPr>
      <w:r w:rsidRPr="00C60A6C">
        <w:rPr>
          <w:sz w:val="28"/>
          <w:szCs w:val="28"/>
        </w:rPr>
        <w:t>Create a data-sharing framework that connects different departments. This includes HMRC for income data, DWP for benefits data, NHS and DHSC for health and disability indicators, and energy suppliers for consumption and payment method data.</w:t>
      </w:r>
    </w:p>
    <w:p w14:paraId="28E85AA6" w14:textId="77777777" w:rsidR="00C60A6C" w:rsidRDefault="00C60A6C" w:rsidP="00380435">
      <w:pPr>
        <w:numPr>
          <w:ilvl w:val="0"/>
          <w:numId w:val="42"/>
        </w:numPr>
        <w:rPr>
          <w:sz w:val="28"/>
          <w:szCs w:val="28"/>
        </w:rPr>
      </w:pPr>
      <w:r w:rsidRPr="00C60A6C">
        <w:rPr>
          <w:sz w:val="28"/>
          <w:szCs w:val="28"/>
        </w:rPr>
        <w:t>Appoint a trusted data processor, like DWP or an independent public body, to manage sensitive data securely. Provide suppliers with only anonymised eligibility flags.</w:t>
      </w:r>
    </w:p>
    <w:p w14:paraId="5B1D9593" w14:textId="77777777" w:rsidR="00250669" w:rsidRDefault="00C60A6C" w:rsidP="00380435">
      <w:pPr>
        <w:numPr>
          <w:ilvl w:val="0"/>
          <w:numId w:val="42"/>
        </w:numPr>
        <w:rPr>
          <w:sz w:val="28"/>
          <w:szCs w:val="28"/>
        </w:rPr>
      </w:pPr>
      <w:r w:rsidRPr="00C60A6C">
        <w:rPr>
          <w:sz w:val="28"/>
          <w:szCs w:val="28"/>
        </w:rPr>
        <w:t>Triangulate address data by cross-referencing council tax records, HMRC income data, and supplier info. This helps to accurately combine household incomes, reducing the risk of under- or over-targeting.</w:t>
      </w:r>
    </w:p>
    <w:p w14:paraId="1FB04A70" w14:textId="689299A7" w:rsidR="00250669" w:rsidRPr="00250669" w:rsidRDefault="00250669" w:rsidP="00380435">
      <w:pPr>
        <w:numPr>
          <w:ilvl w:val="0"/>
          <w:numId w:val="42"/>
        </w:numPr>
        <w:rPr>
          <w:sz w:val="28"/>
          <w:szCs w:val="28"/>
        </w:rPr>
      </w:pPr>
      <w:r w:rsidRPr="00250669">
        <w:rPr>
          <w:sz w:val="28"/>
          <w:szCs w:val="28"/>
        </w:rPr>
        <w:t>Refine the Priority Services Register (PSR) needs codes. This will help identify vulnerable households, especially disabled customers who may not receive benefits but have high energy needs.</w:t>
      </w:r>
    </w:p>
    <w:p w14:paraId="5ABCB2E6" w14:textId="18EB8DEC" w:rsidR="004F3A9B" w:rsidRDefault="00B270C9" w:rsidP="00380435">
      <w:pPr>
        <w:rPr>
          <w:sz w:val="28"/>
          <w:szCs w:val="28"/>
        </w:rPr>
      </w:pPr>
      <w:r>
        <w:rPr>
          <w:b/>
          <w:bCs/>
          <w:sz w:val="28"/>
          <w:szCs w:val="28"/>
        </w:rPr>
        <w:br/>
      </w:r>
      <w:r w:rsidR="00380435" w:rsidRPr="00380435">
        <w:rPr>
          <w:b/>
          <w:bCs/>
          <w:sz w:val="28"/>
          <w:szCs w:val="28"/>
        </w:rPr>
        <w:t>2. Legislative change</w:t>
      </w:r>
    </w:p>
    <w:p w14:paraId="565D6D1D" w14:textId="01D52933" w:rsidR="1A6DFC8B" w:rsidRDefault="00A24A4B" w:rsidP="1A6DFC8B">
      <w:pPr>
        <w:rPr>
          <w:sz w:val="28"/>
          <w:szCs w:val="28"/>
        </w:rPr>
      </w:pPr>
      <w:r w:rsidRPr="00A24A4B">
        <w:rPr>
          <w:sz w:val="28"/>
          <w:szCs w:val="28"/>
        </w:rPr>
        <w:t>Updating the Digital Economy Act 2017 is essential. This will broaden its focus from just fuel poverty to include more support for affordability and vulnerability.</w:t>
      </w:r>
      <w:r>
        <w:rPr>
          <w:sz w:val="28"/>
          <w:szCs w:val="28"/>
        </w:rPr>
        <w:t xml:space="preserve"> </w:t>
      </w:r>
      <w:r w:rsidRPr="00A24A4B">
        <w:rPr>
          <w:sz w:val="28"/>
          <w:szCs w:val="28"/>
        </w:rPr>
        <w:t>This would let departments share data legally and improve information flow between the government, suppliers, and the data processor, all while following GDPR rules.</w:t>
      </w:r>
      <w:r w:rsidR="497E5335" w:rsidRPr="1A6DFC8B">
        <w:rPr>
          <w:sz w:val="28"/>
          <w:szCs w:val="28"/>
        </w:rPr>
        <w:t xml:space="preserve"> Drafting this legislation in 2025 and passing it by 2026 is critical to ensuring an improved system is in place by Winter 2027/28.</w:t>
      </w:r>
    </w:p>
    <w:p w14:paraId="0FAE519E" w14:textId="794F0CEE" w:rsidR="004F3A9B" w:rsidRDefault="00B270C9" w:rsidP="00380435">
      <w:pPr>
        <w:rPr>
          <w:sz w:val="28"/>
          <w:szCs w:val="28"/>
        </w:rPr>
      </w:pPr>
      <w:r>
        <w:rPr>
          <w:b/>
          <w:bCs/>
          <w:sz w:val="28"/>
          <w:szCs w:val="28"/>
        </w:rPr>
        <w:br/>
      </w:r>
      <w:r w:rsidR="497E5335" w:rsidRPr="1A6DFC8B">
        <w:rPr>
          <w:b/>
          <w:bCs/>
          <w:sz w:val="28"/>
          <w:szCs w:val="28"/>
        </w:rPr>
        <w:t>3. Supplementary referral and application routes</w:t>
      </w:r>
    </w:p>
    <w:p w14:paraId="4DCA6720" w14:textId="7B028849" w:rsidR="00380435" w:rsidRPr="00380435" w:rsidRDefault="00380435" w:rsidP="004B6BDD">
      <w:pPr>
        <w:rPr>
          <w:sz w:val="28"/>
          <w:szCs w:val="28"/>
        </w:rPr>
      </w:pPr>
      <w:r w:rsidRPr="00380435">
        <w:rPr>
          <w:sz w:val="28"/>
          <w:szCs w:val="28"/>
        </w:rPr>
        <w:t xml:space="preserve">Even with improved data matching, </w:t>
      </w:r>
      <w:r w:rsidR="004B6BDD" w:rsidRPr="004B6BDD">
        <w:rPr>
          <w:sz w:val="28"/>
          <w:szCs w:val="28"/>
        </w:rPr>
        <w:t>Some households might still be missed due to inaccurate data or sudden 'crisis' situations. </w:t>
      </w:r>
      <w:r w:rsidRPr="00380435">
        <w:rPr>
          <w:sz w:val="28"/>
          <w:szCs w:val="28"/>
        </w:rPr>
        <w:t>The system should therefore include:</w:t>
      </w:r>
    </w:p>
    <w:p w14:paraId="01F5DB8F" w14:textId="77777777" w:rsidR="005B20F7" w:rsidRDefault="005B20F7" w:rsidP="00380435">
      <w:pPr>
        <w:numPr>
          <w:ilvl w:val="0"/>
          <w:numId w:val="43"/>
        </w:numPr>
        <w:rPr>
          <w:sz w:val="28"/>
          <w:szCs w:val="28"/>
        </w:rPr>
      </w:pPr>
      <w:r w:rsidRPr="005B20F7">
        <w:rPr>
          <w:sz w:val="28"/>
          <w:szCs w:val="28"/>
        </w:rPr>
        <w:t>Social prescribing pathways build on the success of Warm Homes Prescription pilots. They enable health professionals and local services to refer households for bill support.</w:t>
      </w:r>
    </w:p>
    <w:p w14:paraId="6F114DCB" w14:textId="77777777" w:rsidR="005B20F7" w:rsidRDefault="005B20F7" w:rsidP="00E54113">
      <w:pPr>
        <w:numPr>
          <w:ilvl w:val="0"/>
          <w:numId w:val="43"/>
        </w:numPr>
        <w:spacing w:line="259" w:lineRule="auto"/>
        <w:rPr>
          <w:sz w:val="28"/>
          <w:szCs w:val="28"/>
        </w:rPr>
      </w:pPr>
      <w:r w:rsidRPr="005B20F7">
        <w:rPr>
          <w:sz w:val="28"/>
          <w:szCs w:val="28"/>
        </w:rPr>
        <w:t>Self-referral tools help households facing sudden shocks, like job loss or bereavement. They make it easy to access support quickly.</w:t>
      </w:r>
    </w:p>
    <w:p w14:paraId="2E63F6A0" w14:textId="69B20FB4" w:rsidR="000D0DEF" w:rsidRPr="005B20F7" w:rsidRDefault="005B20F7" w:rsidP="00E54113">
      <w:pPr>
        <w:numPr>
          <w:ilvl w:val="0"/>
          <w:numId w:val="43"/>
        </w:numPr>
        <w:spacing w:line="259" w:lineRule="auto"/>
        <w:rPr>
          <w:sz w:val="28"/>
          <w:szCs w:val="28"/>
        </w:rPr>
      </w:pPr>
      <w:r w:rsidRPr="005B20F7">
        <w:rPr>
          <w:sz w:val="28"/>
          <w:szCs w:val="28"/>
        </w:rPr>
        <w:t xml:space="preserve">Continued Industry Initiatives, part of the Warm Home Discount, can help more households. They assist those at risk of fuel poverty, even if they don’t </w:t>
      </w:r>
      <w:r w:rsidRPr="005B20F7">
        <w:rPr>
          <w:sz w:val="28"/>
          <w:szCs w:val="28"/>
        </w:rPr>
        <w:lastRenderedPageBreak/>
        <w:t>meet the usual criteria. Support includes energy efficiency measures, debt advice, and guidance on energy and smart meters.</w:t>
      </w:r>
    </w:p>
    <w:p w14:paraId="2EFC4510" w14:textId="5C8A978D" w:rsidR="000D0DEF" w:rsidRPr="00362D16" w:rsidRDefault="3081CD81" w:rsidP="00362D16">
      <w:pPr>
        <w:pStyle w:val="Heading3"/>
        <w:rPr>
          <w:color w:val="3275C8"/>
          <w:sz w:val="32"/>
          <w:szCs w:val="32"/>
        </w:rPr>
      </w:pPr>
      <w:r w:rsidRPr="00362D16">
        <w:rPr>
          <w:color w:val="3275C8"/>
          <w:sz w:val="32"/>
          <w:szCs w:val="32"/>
        </w:rPr>
        <w:t>A plan for reform</w:t>
      </w:r>
    </w:p>
    <w:p w14:paraId="2AC52196" w14:textId="4BB73F5B" w:rsidR="00736315" w:rsidRDefault="497E5335" w:rsidP="000D0DEF">
      <w:pPr>
        <w:rPr>
          <w:sz w:val="28"/>
          <w:szCs w:val="28"/>
        </w:rPr>
      </w:pPr>
      <w:r w:rsidRPr="1A6DFC8B">
        <w:rPr>
          <w:sz w:val="28"/>
          <w:szCs w:val="28"/>
        </w:rPr>
        <w:t xml:space="preserve">The report recommends an ambitious but achievable roadmap. In the near term, to ensure households in need are not left with a cliff-edge of support, the government should extend the WHD to April 2027. </w:t>
      </w:r>
      <w:r w:rsidR="003E5D00" w:rsidRPr="003E5D00">
        <w:rPr>
          <w:sz w:val="28"/>
          <w:szCs w:val="28"/>
        </w:rPr>
        <w:t>To tackle rising fuel poverty, the government should raise support to £400. It should also add £100 booster payments for disability benefit claimants and eligible customers on standard credit.</w:t>
      </w:r>
      <w:r w:rsidRPr="1A6DFC8B">
        <w:rPr>
          <w:sz w:val="28"/>
          <w:szCs w:val="28"/>
        </w:rPr>
        <w:t xml:space="preserve"> This will cost £2.</w:t>
      </w:r>
      <w:r w:rsidR="42BAFA6D" w:rsidRPr="1A6DFC8B">
        <w:rPr>
          <w:sz w:val="28"/>
          <w:szCs w:val="28"/>
        </w:rPr>
        <w:t>7</w:t>
      </w:r>
      <w:r w:rsidRPr="1A6DFC8B">
        <w:rPr>
          <w:sz w:val="28"/>
          <w:szCs w:val="28"/>
        </w:rPr>
        <w:t xml:space="preserve">bn a year </w:t>
      </w:r>
      <w:r w:rsidR="1F61361C" w:rsidRPr="1A6DFC8B">
        <w:rPr>
          <w:sz w:val="28"/>
          <w:szCs w:val="28"/>
        </w:rPr>
        <w:t xml:space="preserve">in total </w:t>
      </w:r>
      <w:r w:rsidRPr="1A6DFC8B">
        <w:rPr>
          <w:sz w:val="28"/>
          <w:szCs w:val="28"/>
        </w:rPr>
        <w:t>or an average of £</w:t>
      </w:r>
      <w:r w:rsidR="15A4A820" w:rsidRPr="1A6DFC8B">
        <w:rPr>
          <w:sz w:val="28"/>
          <w:szCs w:val="28"/>
        </w:rPr>
        <w:t>93</w:t>
      </w:r>
      <w:r w:rsidRPr="1A6DFC8B">
        <w:rPr>
          <w:sz w:val="28"/>
          <w:szCs w:val="28"/>
        </w:rPr>
        <w:t xml:space="preserve"> </w:t>
      </w:r>
      <w:r w:rsidR="0A0E0CA2" w:rsidRPr="1A6DFC8B">
        <w:rPr>
          <w:sz w:val="28"/>
          <w:szCs w:val="28"/>
        </w:rPr>
        <w:t xml:space="preserve">per billpayer </w:t>
      </w:r>
      <w:r w:rsidRPr="1A6DFC8B">
        <w:rPr>
          <w:sz w:val="28"/>
          <w:szCs w:val="28"/>
        </w:rPr>
        <w:t xml:space="preserve">if funded entirely on bills. It would also bring over half a million households out of fuel poverty, compared to around </w:t>
      </w:r>
      <w:r w:rsidR="75744E06" w:rsidRPr="1A6DFC8B">
        <w:rPr>
          <w:sz w:val="28"/>
          <w:szCs w:val="28"/>
        </w:rPr>
        <w:t>160</w:t>
      </w:r>
      <w:r w:rsidRPr="1A6DFC8B">
        <w:rPr>
          <w:sz w:val="28"/>
          <w:szCs w:val="28"/>
        </w:rPr>
        <w:t>,000 under the current £150 WHD scheme. </w:t>
      </w:r>
    </w:p>
    <w:p w14:paraId="74165EDB" w14:textId="77777777" w:rsidR="007E50F9" w:rsidRDefault="007E50F9">
      <w:pPr>
        <w:rPr>
          <w:sz w:val="28"/>
          <w:szCs w:val="28"/>
        </w:rPr>
      </w:pPr>
      <w:r w:rsidRPr="007E50F9">
        <w:rPr>
          <w:sz w:val="28"/>
          <w:szCs w:val="28"/>
        </w:rPr>
        <w:t>By winter 2025, a consultation on a new targeted bill support scheme should start. At the same time, work will begin to draft and pass primary legislation. This will update the Digital Economy Act for secure data sharing.</w:t>
      </w:r>
    </w:p>
    <w:p w14:paraId="3E3044F3" w14:textId="5905BC79" w:rsidR="00736315" w:rsidRDefault="009847C4">
      <w:pPr>
        <w:rPr>
          <w:sz w:val="28"/>
          <w:szCs w:val="28"/>
        </w:rPr>
      </w:pPr>
      <w:r w:rsidRPr="009847C4">
        <w:rPr>
          <w:sz w:val="28"/>
          <w:szCs w:val="28"/>
        </w:rPr>
        <w:t>From 2026, the government should start a new payment scheme linked to income. They need to set up a data-sharing framework across departments. By winter 2027/28, they must also build the systems to provide automatic support.</w:t>
      </w:r>
      <w:r>
        <w:rPr>
          <w:sz w:val="28"/>
          <w:szCs w:val="28"/>
        </w:rPr>
        <w:t xml:space="preserve"> </w:t>
      </w:r>
      <w:r w:rsidR="3081CD81" w:rsidRPr="1A6DFC8B">
        <w:rPr>
          <w:sz w:val="28"/>
          <w:szCs w:val="28"/>
        </w:rPr>
        <w:t xml:space="preserve">Alongside this, </w:t>
      </w:r>
      <w:r>
        <w:rPr>
          <w:sz w:val="28"/>
          <w:szCs w:val="28"/>
        </w:rPr>
        <w:t>investing</w:t>
      </w:r>
      <w:r w:rsidR="3081CD81" w:rsidRPr="1A6DFC8B">
        <w:rPr>
          <w:sz w:val="28"/>
          <w:szCs w:val="28"/>
        </w:rPr>
        <w:t xml:space="preserve"> in social prescribing and self-referral routes </w:t>
      </w:r>
      <w:r>
        <w:rPr>
          <w:sz w:val="28"/>
          <w:szCs w:val="28"/>
        </w:rPr>
        <w:t>will help</w:t>
      </w:r>
      <w:r w:rsidR="3081CD81" w:rsidRPr="1A6DFC8B">
        <w:rPr>
          <w:sz w:val="28"/>
          <w:szCs w:val="28"/>
        </w:rPr>
        <w:t xml:space="preserve"> ensure no vulnerable </w:t>
      </w:r>
      <w:r w:rsidR="00093213">
        <w:rPr>
          <w:sz w:val="28"/>
          <w:szCs w:val="28"/>
        </w:rPr>
        <w:t>customers</w:t>
      </w:r>
      <w:r w:rsidR="3081CD81" w:rsidRPr="1A6DFC8B">
        <w:rPr>
          <w:sz w:val="28"/>
          <w:szCs w:val="28"/>
        </w:rPr>
        <w:t xml:space="preserve"> </w:t>
      </w:r>
      <w:r w:rsidR="00093213">
        <w:rPr>
          <w:sz w:val="28"/>
          <w:szCs w:val="28"/>
        </w:rPr>
        <w:t>are overlooked</w:t>
      </w:r>
      <w:r w:rsidR="3081CD81" w:rsidRPr="1A6DFC8B">
        <w:rPr>
          <w:sz w:val="28"/>
          <w:szCs w:val="28"/>
        </w:rPr>
        <w:t>.</w:t>
      </w:r>
    </w:p>
    <w:p w14:paraId="11A8AEE4" w14:textId="77777777" w:rsidR="00093213" w:rsidRDefault="00093213">
      <w:pPr>
        <w:rPr>
          <w:sz w:val="28"/>
          <w:szCs w:val="28"/>
        </w:rPr>
      </w:pPr>
      <w:r w:rsidRPr="00093213">
        <w:rPr>
          <w:sz w:val="28"/>
          <w:szCs w:val="28"/>
        </w:rPr>
        <w:t>If the rollout of a new targeted bill support system is delayed, policymakers need to ensure support continues without interruption. They should also consider extending the WHD for a second year, until April 2028.</w:t>
      </w:r>
    </w:p>
    <w:p w14:paraId="135967B5" w14:textId="1C9B6CC6" w:rsidR="00736315" w:rsidRDefault="00736315">
      <w:pPr>
        <w:rPr>
          <w:sz w:val="28"/>
          <w:szCs w:val="28"/>
        </w:rPr>
      </w:pPr>
      <w:r>
        <w:rPr>
          <w:sz w:val="28"/>
          <w:szCs w:val="28"/>
        </w:rPr>
        <w:t>A summary of these recommendations and an implementable timeline is below.</w:t>
      </w:r>
    </w:p>
    <w:p w14:paraId="4D14D09D" w14:textId="3294057B" w:rsidR="00736315" w:rsidRDefault="00736315">
      <w:pPr>
        <w:rPr>
          <w:sz w:val="28"/>
          <w:szCs w:val="28"/>
        </w:rPr>
      </w:pPr>
      <w:r w:rsidRPr="77AE511C">
        <w:rPr>
          <w:sz w:val="28"/>
          <w:szCs w:val="28"/>
        </w:rPr>
        <w:br w:type="page"/>
      </w:r>
    </w:p>
    <w:p w14:paraId="1BA047EA" w14:textId="5A16CA5D" w:rsidR="000D0DEF" w:rsidRPr="004C799D" w:rsidRDefault="000D0DEF" w:rsidP="000D0DEF">
      <w:pPr>
        <w:spacing w:line="259" w:lineRule="auto"/>
        <w:rPr>
          <w:b/>
          <w:bCs/>
          <w:sz w:val="32"/>
          <w:szCs w:val="32"/>
        </w:rPr>
      </w:pPr>
      <w:r w:rsidRPr="004C799D">
        <w:rPr>
          <w:b/>
          <w:bCs/>
          <w:sz w:val="32"/>
          <w:szCs w:val="32"/>
        </w:rPr>
        <w:lastRenderedPageBreak/>
        <w:t>Summary of policy recommendations and timeline</w:t>
      </w:r>
    </w:p>
    <w:tbl>
      <w:tblPr>
        <w:tblStyle w:val="TableGrid"/>
        <w:tblW w:w="10200" w:type="dxa"/>
        <w:tblLayout w:type="fixed"/>
        <w:tblLook w:val="06A0" w:firstRow="1" w:lastRow="0" w:firstColumn="1" w:lastColumn="0" w:noHBand="1" w:noVBand="1"/>
      </w:tblPr>
      <w:tblGrid>
        <w:gridCol w:w="4248"/>
        <w:gridCol w:w="2457"/>
        <w:gridCol w:w="855"/>
        <w:gridCol w:w="884"/>
        <w:gridCol w:w="882"/>
        <w:gridCol w:w="874"/>
      </w:tblGrid>
      <w:tr w:rsidR="000D0DEF" w14:paraId="733B59DF" w14:textId="77777777" w:rsidTr="1A6DFC8B">
        <w:trPr>
          <w:trHeight w:val="300"/>
        </w:trPr>
        <w:tc>
          <w:tcPr>
            <w:tcW w:w="4248" w:type="dxa"/>
          </w:tcPr>
          <w:p w14:paraId="6EF39686" w14:textId="77777777" w:rsidR="000D0DEF" w:rsidRDefault="3081CD81" w:rsidP="1A6DFC8B">
            <w:pPr>
              <w:rPr>
                <w:b/>
                <w:bCs/>
                <w:sz w:val="25"/>
                <w:szCs w:val="25"/>
              </w:rPr>
            </w:pPr>
            <w:r w:rsidRPr="1A6DFC8B">
              <w:rPr>
                <w:b/>
                <w:bCs/>
                <w:sz w:val="25"/>
                <w:szCs w:val="25"/>
              </w:rPr>
              <w:t>Action</w:t>
            </w:r>
          </w:p>
        </w:tc>
        <w:tc>
          <w:tcPr>
            <w:tcW w:w="2457" w:type="dxa"/>
          </w:tcPr>
          <w:p w14:paraId="11E28D91" w14:textId="77777777" w:rsidR="000D0DEF" w:rsidRDefault="3081CD81" w:rsidP="1A6DFC8B">
            <w:pPr>
              <w:rPr>
                <w:b/>
                <w:bCs/>
                <w:sz w:val="25"/>
                <w:szCs w:val="25"/>
              </w:rPr>
            </w:pPr>
            <w:r w:rsidRPr="1A6DFC8B">
              <w:rPr>
                <w:b/>
                <w:bCs/>
                <w:sz w:val="25"/>
                <w:szCs w:val="25"/>
              </w:rPr>
              <w:t>Responsibility</w:t>
            </w:r>
          </w:p>
        </w:tc>
        <w:tc>
          <w:tcPr>
            <w:tcW w:w="855" w:type="dxa"/>
          </w:tcPr>
          <w:p w14:paraId="3B5DA2F5" w14:textId="77777777" w:rsidR="000D0DEF" w:rsidRDefault="3081CD81" w:rsidP="1A6DFC8B">
            <w:pPr>
              <w:rPr>
                <w:b/>
                <w:bCs/>
                <w:sz w:val="25"/>
                <w:szCs w:val="25"/>
              </w:rPr>
            </w:pPr>
            <w:r w:rsidRPr="1A6DFC8B">
              <w:rPr>
                <w:b/>
                <w:bCs/>
                <w:sz w:val="25"/>
                <w:szCs w:val="25"/>
              </w:rPr>
              <w:t>2025</w:t>
            </w:r>
          </w:p>
        </w:tc>
        <w:tc>
          <w:tcPr>
            <w:tcW w:w="884" w:type="dxa"/>
          </w:tcPr>
          <w:p w14:paraId="12415C16" w14:textId="77777777" w:rsidR="000D0DEF" w:rsidRDefault="3081CD81" w:rsidP="1A6DFC8B">
            <w:pPr>
              <w:rPr>
                <w:b/>
                <w:bCs/>
                <w:sz w:val="25"/>
                <w:szCs w:val="25"/>
              </w:rPr>
            </w:pPr>
            <w:r w:rsidRPr="1A6DFC8B">
              <w:rPr>
                <w:b/>
                <w:bCs/>
                <w:sz w:val="25"/>
                <w:szCs w:val="25"/>
              </w:rPr>
              <w:t>2026</w:t>
            </w:r>
          </w:p>
        </w:tc>
        <w:tc>
          <w:tcPr>
            <w:tcW w:w="882" w:type="dxa"/>
          </w:tcPr>
          <w:p w14:paraId="70766B9D" w14:textId="77777777" w:rsidR="000D0DEF" w:rsidRDefault="3081CD81" w:rsidP="1A6DFC8B">
            <w:pPr>
              <w:rPr>
                <w:b/>
                <w:bCs/>
                <w:sz w:val="25"/>
                <w:szCs w:val="25"/>
              </w:rPr>
            </w:pPr>
            <w:r w:rsidRPr="1A6DFC8B">
              <w:rPr>
                <w:b/>
                <w:bCs/>
                <w:sz w:val="25"/>
                <w:szCs w:val="25"/>
              </w:rPr>
              <w:t>2027</w:t>
            </w:r>
          </w:p>
        </w:tc>
        <w:tc>
          <w:tcPr>
            <w:tcW w:w="874" w:type="dxa"/>
          </w:tcPr>
          <w:p w14:paraId="0A0B6C03" w14:textId="77777777" w:rsidR="000D0DEF" w:rsidRDefault="3081CD81" w:rsidP="1A6DFC8B">
            <w:pPr>
              <w:rPr>
                <w:b/>
                <w:bCs/>
                <w:sz w:val="25"/>
                <w:szCs w:val="25"/>
              </w:rPr>
            </w:pPr>
            <w:r w:rsidRPr="1A6DFC8B">
              <w:rPr>
                <w:b/>
                <w:bCs/>
                <w:sz w:val="25"/>
                <w:szCs w:val="25"/>
              </w:rPr>
              <w:t>2028</w:t>
            </w:r>
          </w:p>
        </w:tc>
      </w:tr>
      <w:tr w:rsidR="000D0DEF" w14:paraId="306C2D09" w14:textId="77777777" w:rsidTr="007F03CD">
        <w:trPr>
          <w:trHeight w:val="300"/>
        </w:trPr>
        <w:tc>
          <w:tcPr>
            <w:tcW w:w="4248" w:type="dxa"/>
          </w:tcPr>
          <w:p w14:paraId="46F3B559" w14:textId="6F316C53" w:rsidR="000D0DEF" w:rsidRDefault="78115743" w:rsidP="1A6DFC8B">
            <w:pPr>
              <w:rPr>
                <w:sz w:val="25"/>
                <w:szCs w:val="25"/>
              </w:rPr>
            </w:pPr>
            <w:r w:rsidRPr="1A6DFC8B">
              <w:rPr>
                <w:color w:val="000000" w:themeColor="text1"/>
                <w:sz w:val="25"/>
                <w:szCs w:val="25"/>
              </w:rPr>
              <w:t>Extend the WHD to April 2027, increasing eligibility value to £400 plus booster payments</w:t>
            </w:r>
          </w:p>
        </w:tc>
        <w:tc>
          <w:tcPr>
            <w:tcW w:w="2457" w:type="dxa"/>
          </w:tcPr>
          <w:p w14:paraId="0E81028F" w14:textId="77777777" w:rsidR="000D0DEF" w:rsidRDefault="3081CD81" w:rsidP="1A6DFC8B">
            <w:pPr>
              <w:rPr>
                <w:sz w:val="25"/>
                <w:szCs w:val="25"/>
              </w:rPr>
            </w:pPr>
            <w:r w:rsidRPr="1A6DFC8B">
              <w:rPr>
                <w:sz w:val="25"/>
                <w:szCs w:val="25"/>
              </w:rPr>
              <w:t>DESNZ/HMT</w:t>
            </w:r>
          </w:p>
        </w:tc>
        <w:tc>
          <w:tcPr>
            <w:tcW w:w="855" w:type="dxa"/>
            <w:shd w:val="clear" w:color="auto" w:fill="173162"/>
            <w:vAlign w:val="center"/>
          </w:tcPr>
          <w:p w14:paraId="064BD8A8" w14:textId="28FADDC0" w:rsidR="000D0DEF" w:rsidRDefault="007F03CD" w:rsidP="007F03CD">
            <w:pPr>
              <w:jc w:val="center"/>
              <w:rPr>
                <w:sz w:val="25"/>
                <w:szCs w:val="25"/>
              </w:rPr>
            </w:pPr>
            <w:r>
              <w:rPr>
                <w:sz w:val="25"/>
                <w:szCs w:val="25"/>
              </w:rPr>
              <w:t>x</w:t>
            </w:r>
          </w:p>
        </w:tc>
        <w:tc>
          <w:tcPr>
            <w:tcW w:w="884" w:type="dxa"/>
            <w:vAlign w:val="center"/>
          </w:tcPr>
          <w:p w14:paraId="26C35B0E" w14:textId="77777777" w:rsidR="000D0DEF" w:rsidRDefault="000D0DEF" w:rsidP="007F03CD">
            <w:pPr>
              <w:jc w:val="center"/>
              <w:rPr>
                <w:sz w:val="25"/>
                <w:szCs w:val="25"/>
              </w:rPr>
            </w:pPr>
          </w:p>
        </w:tc>
        <w:tc>
          <w:tcPr>
            <w:tcW w:w="882" w:type="dxa"/>
            <w:vAlign w:val="center"/>
          </w:tcPr>
          <w:p w14:paraId="2F890081" w14:textId="77777777" w:rsidR="000D0DEF" w:rsidRDefault="000D0DEF" w:rsidP="007F03CD">
            <w:pPr>
              <w:jc w:val="center"/>
              <w:rPr>
                <w:sz w:val="25"/>
                <w:szCs w:val="25"/>
              </w:rPr>
            </w:pPr>
          </w:p>
        </w:tc>
        <w:tc>
          <w:tcPr>
            <w:tcW w:w="874" w:type="dxa"/>
            <w:vAlign w:val="center"/>
          </w:tcPr>
          <w:p w14:paraId="35E5153A" w14:textId="77777777" w:rsidR="000D0DEF" w:rsidRDefault="000D0DEF" w:rsidP="007F03CD">
            <w:pPr>
              <w:jc w:val="center"/>
              <w:rPr>
                <w:sz w:val="25"/>
                <w:szCs w:val="25"/>
              </w:rPr>
            </w:pPr>
          </w:p>
        </w:tc>
      </w:tr>
      <w:tr w:rsidR="000D0DEF" w14:paraId="63142091" w14:textId="77777777" w:rsidTr="007F03CD">
        <w:trPr>
          <w:trHeight w:val="300"/>
        </w:trPr>
        <w:tc>
          <w:tcPr>
            <w:tcW w:w="4248" w:type="dxa"/>
          </w:tcPr>
          <w:p w14:paraId="41087960" w14:textId="77777777" w:rsidR="000D0DEF" w:rsidRDefault="3081CD81" w:rsidP="1A6DFC8B">
            <w:pPr>
              <w:rPr>
                <w:sz w:val="25"/>
                <w:szCs w:val="25"/>
              </w:rPr>
            </w:pPr>
            <w:r w:rsidRPr="1A6DFC8B">
              <w:rPr>
                <w:sz w:val="25"/>
                <w:szCs w:val="25"/>
              </w:rPr>
              <w:t>Launch the target bill support consultation by Autumn 2025</w:t>
            </w:r>
          </w:p>
        </w:tc>
        <w:tc>
          <w:tcPr>
            <w:tcW w:w="2457" w:type="dxa"/>
          </w:tcPr>
          <w:p w14:paraId="7D25402C" w14:textId="77777777" w:rsidR="000D0DEF" w:rsidRDefault="3081CD81" w:rsidP="1A6DFC8B">
            <w:pPr>
              <w:rPr>
                <w:sz w:val="25"/>
                <w:szCs w:val="25"/>
              </w:rPr>
            </w:pPr>
            <w:r w:rsidRPr="1A6DFC8B">
              <w:rPr>
                <w:sz w:val="25"/>
                <w:szCs w:val="25"/>
              </w:rPr>
              <w:t>DESNZ</w:t>
            </w:r>
          </w:p>
        </w:tc>
        <w:tc>
          <w:tcPr>
            <w:tcW w:w="855" w:type="dxa"/>
            <w:shd w:val="clear" w:color="auto" w:fill="173162"/>
            <w:vAlign w:val="center"/>
          </w:tcPr>
          <w:p w14:paraId="191BD232" w14:textId="67BE2B69" w:rsidR="000D0DEF" w:rsidRPr="007F03CD" w:rsidRDefault="007F03CD" w:rsidP="007F03CD">
            <w:pPr>
              <w:jc w:val="center"/>
              <w:rPr>
                <w:sz w:val="25"/>
                <w:szCs w:val="25"/>
              </w:rPr>
            </w:pPr>
            <w:r w:rsidRPr="007F03CD">
              <w:rPr>
                <w:sz w:val="25"/>
                <w:szCs w:val="25"/>
              </w:rPr>
              <w:t>x</w:t>
            </w:r>
          </w:p>
        </w:tc>
        <w:tc>
          <w:tcPr>
            <w:tcW w:w="884" w:type="dxa"/>
            <w:vAlign w:val="center"/>
          </w:tcPr>
          <w:p w14:paraId="5B5B8587" w14:textId="77777777" w:rsidR="000D0DEF" w:rsidRPr="007F03CD" w:rsidRDefault="000D0DEF" w:rsidP="007F03CD">
            <w:pPr>
              <w:jc w:val="center"/>
              <w:rPr>
                <w:sz w:val="25"/>
                <w:szCs w:val="25"/>
              </w:rPr>
            </w:pPr>
          </w:p>
        </w:tc>
        <w:tc>
          <w:tcPr>
            <w:tcW w:w="882" w:type="dxa"/>
            <w:vAlign w:val="center"/>
          </w:tcPr>
          <w:p w14:paraId="611E832D" w14:textId="77777777" w:rsidR="000D0DEF" w:rsidRPr="007F03CD" w:rsidRDefault="000D0DEF" w:rsidP="007F03CD">
            <w:pPr>
              <w:jc w:val="center"/>
              <w:rPr>
                <w:sz w:val="25"/>
                <w:szCs w:val="25"/>
              </w:rPr>
            </w:pPr>
          </w:p>
        </w:tc>
        <w:tc>
          <w:tcPr>
            <w:tcW w:w="874" w:type="dxa"/>
            <w:vAlign w:val="center"/>
          </w:tcPr>
          <w:p w14:paraId="6A9B4E34" w14:textId="77777777" w:rsidR="000D0DEF" w:rsidRPr="007F03CD" w:rsidRDefault="000D0DEF" w:rsidP="007F03CD">
            <w:pPr>
              <w:jc w:val="center"/>
              <w:rPr>
                <w:sz w:val="25"/>
                <w:szCs w:val="25"/>
              </w:rPr>
            </w:pPr>
          </w:p>
        </w:tc>
      </w:tr>
      <w:tr w:rsidR="000D0DEF" w14:paraId="075F9211" w14:textId="77777777" w:rsidTr="007F03CD">
        <w:trPr>
          <w:trHeight w:val="300"/>
        </w:trPr>
        <w:tc>
          <w:tcPr>
            <w:tcW w:w="4248" w:type="dxa"/>
          </w:tcPr>
          <w:p w14:paraId="1632484C" w14:textId="77777777" w:rsidR="000D0DEF" w:rsidRDefault="3081CD81" w:rsidP="1A6DFC8B">
            <w:pPr>
              <w:rPr>
                <w:sz w:val="25"/>
                <w:szCs w:val="25"/>
              </w:rPr>
            </w:pPr>
            <w:r w:rsidRPr="1A6DFC8B">
              <w:rPr>
                <w:sz w:val="25"/>
                <w:szCs w:val="25"/>
              </w:rPr>
              <w:t>Keep ministerial working group on data matching in place until full implementation</w:t>
            </w:r>
          </w:p>
        </w:tc>
        <w:tc>
          <w:tcPr>
            <w:tcW w:w="2457" w:type="dxa"/>
          </w:tcPr>
          <w:p w14:paraId="220C5B7C" w14:textId="77777777" w:rsidR="000D0DEF" w:rsidRDefault="3081CD81" w:rsidP="1A6DFC8B">
            <w:pPr>
              <w:rPr>
                <w:sz w:val="25"/>
                <w:szCs w:val="25"/>
              </w:rPr>
            </w:pPr>
            <w:r w:rsidRPr="1A6DFC8B">
              <w:rPr>
                <w:sz w:val="25"/>
                <w:szCs w:val="25"/>
              </w:rPr>
              <w:t>DESNZ</w:t>
            </w:r>
          </w:p>
        </w:tc>
        <w:tc>
          <w:tcPr>
            <w:tcW w:w="855" w:type="dxa"/>
            <w:shd w:val="clear" w:color="auto" w:fill="173162"/>
            <w:vAlign w:val="center"/>
          </w:tcPr>
          <w:p w14:paraId="4F1E6FA6" w14:textId="252B51E8" w:rsidR="000D0DEF" w:rsidRPr="007F03CD" w:rsidRDefault="007F03CD" w:rsidP="007F03CD">
            <w:pPr>
              <w:jc w:val="center"/>
              <w:rPr>
                <w:sz w:val="25"/>
                <w:szCs w:val="25"/>
              </w:rPr>
            </w:pPr>
            <w:r w:rsidRPr="007F03CD">
              <w:rPr>
                <w:sz w:val="25"/>
                <w:szCs w:val="25"/>
              </w:rPr>
              <w:t>x</w:t>
            </w:r>
          </w:p>
        </w:tc>
        <w:tc>
          <w:tcPr>
            <w:tcW w:w="884" w:type="dxa"/>
            <w:shd w:val="clear" w:color="auto" w:fill="173162"/>
            <w:vAlign w:val="center"/>
          </w:tcPr>
          <w:p w14:paraId="5DAE17B5" w14:textId="21CA622A" w:rsidR="000D0DEF" w:rsidRPr="007F03CD" w:rsidRDefault="007F03CD" w:rsidP="007F03CD">
            <w:pPr>
              <w:jc w:val="center"/>
              <w:rPr>
                <w:sz w:val="25"/>
                <w:szCs w:val="25"/>
              </w:rPr>
            </w:pPr>
            <w:r w:rsidRPr="007F03CD">
              <w:rPr>
                <w:sz w:val="25"/>
                <w:szCs w:val="25"/>
              </w:rPr>
              <w:t>x</w:t>
            </w:r>
          </w:p>
        </w:tc>
        <w:tc>
          <w:tcPr>
            <w:tcW w:w="882" w:type="dxa"/>
            <w:shd w:val="clear" w:color="auto" w:fill="173162"/>
            <w:vAlign w:val="center"/>
          </w:tcPr>
          <w:p w14:paraId="7AD063E0" w14:textId="573185DC" w:rsidR="000D0DEF" w:rsidRPr="007F03CD" w:rsidRDefault="007F03CD" w:rsidP="007F03CD">
            <w:pPr>
              <w:jc w:val="center"/>
              <w:rPr>
                <w:sz w:val="25"/>
                <w:szCs w:val="25"/>
              </w:rPr>
            </w:pPr>
            <w:r w:rsidRPr="007F03CD">
              <w:rPr>
                <w:sz w:val="25"/>
                <w:szCs w:val="25"/>
              </w:rPr>
              <w:t>x</w:t>
            </w:r>
          </w:p>
        </w:tc>
        <w:tc>
          <w:tcPr>
            <w:tcW w:w="874" w:type="dxa"/>
            <w:shd w:val="clear" w:color="auto" w:fill="173162"/>
            <w:vAlign w:val="center"/>
          </w:tcPr>
          <w:p w14:paraId="27948283" w14:textId="08156272" w:rsidR="000D0DEF" w:rsidRPr="007F03CD" w:rsidRDefault="007F03CD" w:rsidP="007F03CD">
            <w:pPr>
              <w:jc w:val="center"/>
              <w:rPr>
                <w:sz w:val="25"/>
                <w:szCs w:val="25"/>
              </w:rPr>
            </w:pPr>
            <w:r w:rsidRPr="007F03CD">
              <w:rPr>
                <w:sz w:val="25"/>
                <w:szCs w:val="25"/>
              </w:rPr>
              <w:t>x</w:t>
            </w:r>
          </w:p>
        </w:tc>
      </w:tr>
      <w:tr w:rsidR="000D0DEF" w14:paraId="77CD554B" w14:textId="77777777" w:rsidTr="007F03CD">
        <w:trPr>
          <w:trHeight w:val="300"/>
        </w:trPr>
        <w:tc>
          <w:tcPr>
            <w:tcW w:w="4248" w:type="dxa"/>
          </w:tcPr>
          <w:p w14:paraId="78734BAC" w14:textId="77777777" w:rsidR="000D0DEF" w:rsidRDefault="3081CD81" w:rsidP="1A6DFC8B">
            <w:pPr>
              <w:rPr>
                <w:sz w:val="25"/>
                <w:szCs w:val="25"/>
              </w:rPr>
            </w:pPr>
            <w:r w:rsidRPr="1A6DFC8B">
              <w:rPr>
                <w:sz w:val="25"/>
                <w:szCs w:val="25"/>
              </w:rPr>
              <w:t>Draft primary legislation to update the Digital Economy Act 2017</w:t>
            </w:r>
          </w:p>
        </w:tc>
        <w:tc>
          <w:tcPr>
            <w:tcW w:w="2457" w:type="dxa"/>
          </w:tcPr>
          <w:p w14:paraId="7A2AF9D8" w14:textId="77777777" w:rsidR="000D0DEF" w:rsidRDefault="3081CD81" w:rsidP="1A6DFC8B">
            <w:pPr>
              <w:rPr>
                <w:sz w:val="25"/>
                <w:szCs w:val="25"/>
              </w:rPr>
            </w:pPr>
            <w:r w:rsidRPr="1A6DFC8B">
              <w:rPr>
                <w:sz w:val="25"/>
                <w:szCs w:val="25"/>
              </w:rPr>
              <w:t>DESNZ</w:t>
            </w:r>
          </w:p>
        </w:tc>
        <w:tc>
          <w:tcPr>
            <w:tcW w:w="855" w:type="dxa"/>
            <w:shd w:val="clear" w:color="auto" w:fill="173162"/>
            <w:vAlign w:val="center"/>
          </w:tcPr>
          <w:p w14:paraId="5DBFD71E" w14:textId="226144A8" w:rsidR="000D0DEF" w:rsidRPr="007F03CD" w:rsidRDefault="007F03CD" w:rsidP="007F03CD">
            <w:pPr>
              <w:jc w:val="center"/>
              <w:rPr>
                <w:sz w:val="25"/>
                <w:szCs w:val="25"/>
              </w:rPr>
            </w:pPr>
            <w:r w:rsidRPr="007F03CD">
              <w:rPr>
                <w:sz w:val="25"/>
                <w:szCs w:val="25"/>
              </w:rPr>
              <w:t>x</w:t>
            </w:r>
          </w:p>
        </w:tc>
        <w:tc>
          <w:tcPr>
            <w:tcW w:w="884" w:type="dxa"/>
            <w:vAlign w:val="center"/>
          </w:tcPr>
          <w:p w14:paraId="23AC7949" w14:textId="77777777" w:rsidR="000D0DEF" w:rsidRPr="007F03CD" w:rsidRDefault="000D0DEF" w:rsidP="007F03CD">
            <w:pPr>
              <w:jc w:val="center"/>
              <w:rPr>
                <w:sz w:val="25"/>
                <w:szCs w:val="25"/>
              </w:rPr>
            </w:pPr>
          </w:p>
        </w:tc>
        <w:tc>
          <w:tcPr>
            <w:tcW w:w="882" w:type="dxa"/>
            <w:vAlign w:val="center"/>
          </w:tcPr>
          <w:p w14:paraId="2AB5A1C3" w14:textId="77777777" w:rsidR="000D0DEF" w:rsidRPr="007F03CD" w:rsidRDefault="000D0DEF" w:rsidP="007F03CD">
            <w:pPr>
              <w:jc w:val="center"/>
              <w:rPr>
                <w:sz w:val="25"/>
                <w:szCs w:val="25"/>
              </w:rPr>
            </w:pPr>
          </w:p>
        </w:tc>
        <w:tc>
          <w:tcPr>
            <w:tcW w:w="874" w:type="dxa"/>
            <w:vAlign w:val="center"/>
          </w:tcPr>
          <w:p w14:paraId="150B912E" w14:textId="77777777" w:rsidR="000D0DEF" w:rsidRPr="007F03CD" w:rsidRDefault="000D0DEF" w:rsidP="007F03CD">
            <w:pPr>
              <w:jc w:val="center"/>
              <w:rPr>
                <w:sz w:val="25"/>
                <w:szCs w:val="25"/>
              </w:rPr>
            </w:pPr>
          </w:p>
        </w:tc>
      </w:tr>
      <w:tr w:rsidR="000D0DEF" w14:paraId="20B127B8" w14:textId="77777777" w:rsidTr="007F03CD">
        <w:trPr>
          <w:trHeight w:val="300"/>
        </w:trPr>
        <w:tc>
          <w:tcPr>
            <w:tcW w:w="4248" w:type="dxa"/>
          </w:tcPr>
          <w:p w14:paraId="1B4E184F" w14:textId="77777777" w:rsidR="000D0DEF" w:rsidRDefault="3081CD81" w:rsidP="1A6DFC8B">
            <w:pPr>
              <w:rPr>
                <w:sz w:val="25"/>
                <w:szCs w:val="25"/>
              </w:rPr>
            </w:pPr>
            <w:r w:rsidRPr="1A6DFC8B">
              <w:rPr>
                <w:sz w:val="25"/>
                <w:szCs w:val="25"/>
              </w:rPr>
              <w:t>Pass the legislation through parliament</w:t>
            </w:r>
          </w:p>
        </w:tc>
        <w:tc>
          <w:tcPr>
            <w:tcW w:w="2457" w:type="dxa"/>
          </w:tcPr>
          <w:p w14:paraId="1E073E22" w14:textId="77777777" w:rsidR="000D0DEF" w:rsidRDefault="3081CD81" w:rsidP="1A6DFC8B">
            <w:pPr>
              <w:rPr>
                <w:sz w:val="25"/>
                <w:szCs w:val="25"/>
              </w:rPr>
            </w:pPr>
            <w:r w:rsidRPr="1A6DFC8B">
              <w:rPr>
                <w:sz w:val="25"/>
                <w:szCs w:val="25"/>
              </w:rPr>
              <w:t>DESNZ</w:t>
            </w:r>
          </w:p>
        </w:tc>
        <w:tc>
          <w:tcPr>
            <w:tcW w:w="855" w:type="dxa"/>
            <w:vAlign w:val="center"/>
          </w:tcPr>
          <w:p w14:paraId="16E75102" w14:textId="77777777" w:rsidR="000D0DEF" w:rsidRPr="007F03CD" w:rsidRDefault="000D0DEF" w:rsidP="007F03CD">
            <w:pPr>
              <w:jc w:val="center"/>
              <w:rPr>
                <w:sz w:val="25"/>
                <w:szCs w:val="25"/>
              </w:rPr>
            </w:pPr>
          </w:p>
        </w:tc>
        <w:tc>
          <w:tcPr>
            <w:tcW w:w="884" w:type="dxa"/>
            <w:shd w:val="clear" w:color="auto" w:fill="173162"/>
            <w:vAlign w:val="center"/>
          </w:tcPr>
          <w:p w14:paraId="431B651C" w14:textId="21A6860A" w:rsidR="000D0DEF" w:rsidRPr="007F03CD" w:rsidRDefault="007F03CD" w:rsidP="007F03CD">
            <w:pPr>
              <w:jc w:val="center"/>
              <w:rPr>
                <w:sz w:val="25"/>
                <w:szCs w:val="25"/>
              </w:rPr>
            </w:pPr>
            <w:r w:rsidRPr="007F03CD">
              <w:rPr>
                <w:sz w:val="25"/>
                <w:szCs w:val="25"/>
              </w:rPr>
              <w:t>x</w:t>
            </w:r>
          </w:p>
        </w:tc>
        <w:tc>
          <w:tcPr>
            <w:tcW w:w="882" w:type="dxa"/>
            <w:vAlign w:val="center"/>
          </w:tcPr>
          <w:p w14:paraId="0D02C388" w14:textId="77777777" w:rsidR="000D0DEF" w:rsidRPr="007F03CD" w:rsidRDefault="000D0DEF" w:rsidP="007F03CD">
            <w:pPr>
              <w:jc w:val="center"/>
              <w:rPr>
                <w:sz w:val="25"/>
                <w:szCs w:val="25"/>
              </w:rPr>
            </w:pPr>
          </w:p>
        </w:tc>
        <w:tc>
          <w:tcPr>
            <w:tcW w:w="874" w:type="dxa"/>
            <w:vAlign w:val="center"/>
          </w:tcPr>
          <w:p w14:paraId="3E140283" w14:textId="77777777" w:rsidR="000D0DEF" w:rsidRPr="007F03CD" w:rsidRDefault="000D0DEF" w:rsidP="007F03CD">
            <w:pPr>
              <w:jc w:val="center"/>
              <w:rPr>
                <w:sz w:val="25"/>
                <w:szCs w:val="25"/>
              </w:rPr>
            </w:pPr>
          </w:p>
        </w:tc>
      </w:tr>
      <w:tr w:rsidR="000D0DEF" w14:paraId="64C1E480" w14:textId="77777777" w:rsidTr="007F03CD">
        <w:trPr>
          <w:trHeight w:val="300"/>
        </w:trPr>
        <w:tc>
          <w:tcPr>
            <w:tcW w:w="4248" w:type="dxa"/>
          </w:tcPr>
          <w:p w14:paraId="474D864D" w14:textId="77777777" w:rsidR="000D0DEF" w:rsidRDefault="3081CD81" w:rsidP="1A6DFC8B">
            <w:pPr>
              <w:rPr>
                <w:sz w:val="25"/>
                <w:szCs w:val="25"/>
              </w:rPr>
            </w:pPr>
            <w:r w:rsidRPr="1A6DFC8B">
              <w:rPr>
                <w:sz w:val="25"/>
                <w:szCs w:val="25"/>
              </w:rPr>
              <w:t>Appoint a trusted data processor (e.g. DWP or third-party)</w:t>
            </w:r>
          </w:p>
        </w:tc>
        <w:tc>
          <w:tcPr>
            <w:tcW w:w="2457" w:type="dxa"/>
          </w:tcPr>
          <w:p w14:paraId="04260441" w14:textId="77777777" w:rsidR="000D0DEF" w:rsidRDefault="3081CD81" w:rsidP="1A6DFC8B">
            <w:pPr>
              <w:rPr>
                <w:sz w:val="25"/>
                <w:szCs w:val="25"/>
              </w:rPr>
            </w:pPr>
            <w:r w:rsidRPr="1A6DFC8B">
              <w:rPr>
                <w:sz w:val="25"/>
                <w:szCs w:val="25"/>
              </w:rPr>
              <w:t>DESNZ</w:t>
            </w:r>
          </w:p>
        </w:tc>
        <w:tc>
          <w:tcPr>
            <w:tcW w:w="855" w:type="dxa"/>
            <w:vAlign w:val="center"/>
          </w:tcPr>
          <w:p w14:paraId="417DE1A4" w14:textId="77777777" w:rsidR="000D0DEF" w:rsidRPr="007F03CD" w:rsidRDefault="000D0DEF" w:rsidP="007F03CD">
            <w:pPr>
              <w:jc w:val="center"/>
              <w:rPr>
                <w:sz w:val="25"/>
                <w:szCs w:val="25"/>
              </w:rPr>
            </w:pPr>
          </w:p>
        </w:tc>
        <w:tc>
          <w:tcPr>
            <w:tcW w:w="884" w:type="dxa"/>
            <w:shd w:val="clear" w:color="auto" w:fill="173162"/>
            <w:vAlign w:val="center"/>
          </w:tcPr>
          <w:p w14:paraId="15463AFB" w14:textId="6145032B" w:rsidR="000D0DEF" w:rsidRPr="007F03CD" w:rsidRDefault="007F03CD" w:rsidP="007F03CD">
            <w:pPr>
              <w:jc w:val="center"/>
              <w:rPr>
                <w:sz w:val="25"/>
                <w:szCs w:val="25"/>
              </w:rPr>
            </w:pPr>
            <w:r w:rsidRPr="007F03CD">
              <w:rPr>
                <w:sz w:val="25"/>
                <w:szCs w:val="25"/>
              </w:rPr>
              <w:t>x</w:t>
            </w:r>
          </w:p>
        </w:tc>
        <w:tc>
          <w:tcPr>
            <w:tcW w:w="882" w:type="dxa"/>
            <w:vAlign w:val="center"/>
          </w:tcPr>
          <w:p w14:paraId="42515FF6" w14:textId="77777777" w:rsidR="000D0DEF" w:rsidRPr="007F03CD" w:rsidRDefault="000D0DEF" w:rsidP="007F03CD">
            <w:pPr>
              <w:jc w:val="center"/>
              <w:rPr>
                <w:sz w:val="25"/>
                <w:szCs w:val="25"/>
              </w:rPr>
            </w:pPr>
          </w:p>
        </w:tc>
        <w:tc>
          <w:tcPr>
            <w:tcW w:w="874" w:type="dxa"/>
            <w:vAlign w:val="center"/>
          </w:tcPr>
          <w:p w14:paraId="46DB43B9" w14:textId="77777777" w:rsidR="000D0DEF" w:rsidRPr="007F03CD" w:rsidRDefault="000D0DEF" w:rsidP="007F03CD">
            <w:pPr>
              <w:jc w:val="center"/>
              <w:rPr>
                <w:sz w:val="25"/>
                <w:szCs w:val="25"/>
              </w:rPr>
            </w:pPr>
          </w:p>
        </w:tc>
      </w:tr>
      <w:tr w:rsidR="000D0DEF" w14:paraId="3B2AEF73" w14:textId="77777777" w:rsidTr="007F03CD">
        <w:trPr>
          <w:trHeight w:val="300"/>
        </w:trPr>
        <w:tc>
          <w:tcPr>
            <w:tcW w:w="4248" w:type="dxa"/>
          </w:tcPr>
          <w:p w14:paraId="7D67E999" w14:textId="77777777" w:rsidR="000D0DEF" w:rsidRDefault="3081CD81" w:rsidP="1A6DFC8B">
            <w:pPr>
              <w:rPr>
                <w:sz w:val="25"/>
                <w:szCs w:val="25"/>
              </w:rPr>
            </w:pPr>
            <w:r w:rsidRPr="1A6DFC8B">
              <w:rPr>
                <w:sz w:val="25"/>
                <w:szCs w:val="25"/>
              </w:rPr>
              <w:t xml:space="preserve">Pilot triangulation of household address data </w:t>
            </w:r>
          </w:p>
        </w:tc>
        <w:tc>
          <w:tcPr>
            <w:tcW w:w="2457" w:type="dxa"/>
          </w:tcPr>
          <w:p w14:paraId="16799064" w14:textId="77777777" w:rsidR="000D0DEF" w:rsidRDefault="3081CD81" w:rsidP="1A6DFC8B">
            <w:pPr>
              <w:rPr>
                <w:sz w:val="25"/>
                <w:szCs w:val="25"/>
              </w:rPr>
            </w:pPr>
            <w:r w:rsidRPr="1A6DFC8B">
              <w:rPr>
                <w:sz w:val="25"/>
                <w:szCs w:val="25"/>
              </w:rPr>
              <w:t>HMRC, VOA/local authorities &amp; suppliers</w:t>
            </w:r>
          </w:p>
        </w:tc>
        <w:tc>
          <w:tcPr>
            <w:tcW w:w="855" w:type="dxa"/>
            <w:vAlign w:val="center"/>
          </w:tcPr>
          <w:p w14:paraId="50A4FEE7" w14:textId="77777777" w:rsidR="000D0DEF" w:rsidRPr="007F03CD" w:rsidRDefault="000D0DEF" w:rsidP="007F03CD">
            <w:pPr>
              <w:jc w:val="center"/>
              <w:rPr>
                <w:sz w:val="25"/>
                <w:szCs w:val="25"/>
              </w:rPr>
            </w:pPr>
          </w:p>
        </w:tc>
        <w:tc>
          <w:tcPr>
            <w:tcW w:w="884" w:type="dxa"/>
            <w:shd w:val="clear" w:color="auto" w:fill="173162"/>
            <w:vAlign w:val="center"/>
          </w:tcPr>
          <w:p w14:paraId="64D3D50F" w14:textId="62F5DD7F" w:rsidR="000D0DEF" w:rsidRPr="007F03CD" w:rsidRDefault="007F03CD" w:rsidP="007F03CD">
            <w:pPr>
              <w:jc w:val="center"/>
              <w:rPr>
                <w:sz w:val="25"/>
                <w:szCs w:val="25"/>
              </w:rPr>
            </w:pPr>
            <w:r w:rsidRPr="007F03CD">
              <w:rPr>
                <w:sz w:val="25"/>
                <w:szCs w:val="25"/>
              </w:rPr>
              <w:t>x</w:t>
            </w:r>
          </w:p>
        </w:tc>
        <w:tc>
          <w:tcPr>
            <w:tcW w:w="882" w:type="dxa"/>
            <w:vAlign w:val="center"/>
          </w:tcPr>
          <w:p w14:paraId="2DA184EE" w14:textId="77777777" w:rsidR="000D0DEF" w:rsidRPr="007F03CD" w:rsidRDefault="000D0DEF" w:rsidP="007F03CD">
            <w:pPr>
              <w:jc w:val="center"/>
              <w:rPr>
                <w:sz w:val="25"/>
                <w:szCs w:val="25"/>
              </w:rPr>
            </w:pPr>
          </w:p>
        </w:tc>
        <w:tc>
          <w:tcPr>
            <w:tcW w:w="874" w:type="dxa"/>
            <w:vAlign w:val="center"/>
          </w:tcPr>
          <w:p w14:paraId="28756831" w14:textId="77777777" w:rsidR="000D0DEF" w:rsidRPr="007F03CD" w:rsidRDefault="000D0DEF" w:rsidP="007F03CD">
            <w:pPr>
              <w:jc w:val="center"/>
              <w:rPr>
                <w:sz w:val="25"/>
                <w:szCs w:val="25"/>
              </w:rPr>
            </w:pPr>
          </w:p>
        </w:tc>
      </w:tr>
      <w:tr w:rsidR="000D0DEF" w14:paraId="33CD3DD6" w14:textId="77777777" w:rsidTr="007F03CD">
        <w:trPr>
          <w:trHeight w:val="300"/>
        </w:trPr>
        <w:tc>
          <w:tcPr>
            <w:tcW w:w="4248" w:type="dxa"/>
          </w:tcPr>
          <w:p w14:paraId="7930EBD6" w14:textId="77777777" w:rsidR="000D0DEF" w:rsidRDefault="3081CD81" w:rsidP="1A6DFC8B">
            <w:pPr>
              <w:spacing w:line="259" w:lineRule="auto"/>
              <w:rPr>
                <w:sz w:val="25"/>
                <w:szCs w:val="25"/>
              </w:rPr>
            </w:pPr>
            <w:r w:rsidRPr="1A6DFC8B">
              <w:rPr>
                <w:sz w:val="25"/>
                <w:szCs w:val="25"/>
              </w:rPr>
              <w:t xml:space="preserve">Apply lessons from Warm Homes Prescription pilots to scale social prescribing </w:t>
            </w:r>
          </w:p>
        </w:tc>
        <w:tc>
          <w:tcPr>
            <w:tcW w:w="2457" w:type="dxa"/>
          </w:tcPr>
          <w:p w14:paraId="64D46182" w14:textId="77777777" w:rsidR="000D0DEF" w:rsidRDefault="3081CD81" w:rsidP="1A6DFC8B">
            <w:pPr>
              <w:rPr>
                <w:sz w:val="25"/>
                <w:szCs w:val="25"/>
              </w:rPr>
            </w:pPr>
            <w:r w:rsidRPr="1A6DFC8B">
              <w:rPr>
                <w:sz w:val="25"/>
                <w:szCs w:val="25"/>
              </w:rPr>
              <w:t>Appointed data processor, suppliers &amp; healthcare providers</w:t>
            </w:r>
          </w:p>
        </w:tc>
        <w:tc>
          <w:tcPr>
            <w:tcW w:w="855" w:type="dxa"/>
            <w:vAlign w:val="center"/>
          </w:tcPr>
          <w:p w14:paraId="42ADA04D" w14:textId="77777777" w:rsidR="000D0DEF" w:rsidRPr="007F03CD" w:rsidRDefault="000D0DEF" w:rsidP="007F03CD">
            <w:pPr>
              <w:jc w:val="center"/>
              <w:rPr>
                <w:sz w:val="25"/>
                <w:szCs w:val="25"/>
              </w:rPr>
            </w:pPr>
          </w:p>
        </w:tc>
        <w:tc>
          <w:tcPr>
            <w:tcW w:w="884" w:type="dxa"/>
            <w:shd w:val="clear" w:color="auto" w:fill="173162"/>
            <w:vAlign w:val="center"/>
          </w:tcPr>
          <w:p w14:paraId="19EB8F47" w14:textId="4D04379C" w:rsidR="000D0DEF" w:rsidRPr="007F03CD" w:rsidRDefault="007F03CD" w:rsidP="007F03CD">
            <w:pPr>
              <w:jc w:val="center"/>
              <w:rPr>
                <w:sz w:val="25"/>
                <w:szCs w:val="25"/>
              </w:rPr>
            </w:pPr>
            <w:r w:rsidRPr="007F03CD">
              <w:rPr>
                <w:sz w:val="25"/>
                <w:szCs w:val="25"/>
              </w:rPr>
              <w:t>x</w:t>
            </w:r>
          </w:p>
        </w:tc>
        <w:tc>
          <w:tcPr>
            <w:tcW w:w="882" w:type="dxa"/>
            <w:shd w:val="clear" w:color="auto" w:fill="173162"/>
            <w:vAlign w:val="center"/>
          </w:tcPr>
          <w:p w14:paraId="7CE46072" w14:textId="77902015" w:rsidR="000D0DEF" w:rsidRPr="007F03CD" w:rsidRDefault="007F03CD" w:rsidP="007F03CD">
            <w:pPr>
              <w:jc w:val="center"/>
              <w:rPr>
                <w:sz w:val="25"/>
                <w:szCs w:val="25"/>
              </w:rPr>
            </w:pPr>
            <w:r w:rsidRPr="007F03CD">
              <w:rPr>
                <w:sz w:val="25"/>
                <w:szCs w:val="25"/>
              </w:rPr>
              <w:t>x</w:t>
            </w:r>
          </w:p>
        </w:tc>
        <w:tc>
          <w:tcPr>
            <w:tcW w:w="874" w:type="dxa"/>
            <w:vAlign w:val="center"/>
          </w:tcPr>
          <w:p w14:paraId="6054E475" w14:textId="77777777" w:rsidR="000D0DEF" w:rsidRPr="007F03CD" w:rsidRDefault="000D0DEF" w:rsidP="007F03CD">
            <w:pPr>
              <w:jc w:val="center"/>
              <w:rPr>
                <w:sz w:val="25"/>
                <w:szCs w:val="25"/>
              </w:rPr>
            </w:pPr>
          </w:p>
        </w:tc>
      </w:tr>
      <w:tr w:rsidR="000D0DEF" w14:paraId="03AA56F0" w14:textId="77777777" w:rsidTr="007F03CD">
        <w:trPr>
          <w:trHeight w:val="300"/>
        </w:trPr>
        <w:tc>
          <w:tcPr>
            <w:tcW w:w="4248" w:type="dxa"/>
          </w:tcPr>
          <w:p w14:paraId="63CA12B5" w14:textId="77777777" w:rsidR="000D0DEF" w:rsidRDefault="3081CD81" w:rsidP="1A6DFC8B">
            <w:pPr>
              <w:rPr>
                <w:sz w:val="25"/>
                <w:szCs w:val="25"/>
              </w:rPr>
            </w:pPr>
            <w:r w:rsidRPr="1A6DFC8B">
              <w:rPr>
                <w:sz w:val="25"/>
                <w:szCs w:val="25"/>
              </w:rPr>
              <w:t>Invest in building inclusive, well-designed self-referral tools</w:t>
            </w:r>
          </w:p>
        </w:tc>
        <w:tc>
          <w:tcPr>
            <w:tcW w:w="2457" w:type="dxa"/>
          </w:tcPr>
          <w:p w14:paraId="5A3C8D08" w14:textId="77777777" w:rsidR="000D0DEF" w:rsidRDefault="3081CD81" w:rsidP="1A6DFC8B">
            <w:pPr>
              <w:rPr>
                <w:sz w:val="25"/>
                <w:szCs w:val="25"/>
              </w:rPr>
            </w:pPr>
            <w:r w:rsidRPr="1A6DFC8B">
              <w:rPr>
                <w:sz w:val="25"/>
                <w:szCs w:val="25"/>
              </w:rPr>
              <w:t>Appointed data processor &amp; suppliers</w:t>
            </w:r>
          </w:p>
        </w:tc>
        <w:tc>
          <w:tcPr>
            <w:tcW w:w="855" w:type="dxa"/>
            <w:vAlign w:val="center"/>
          </w:tcPr>
          <w:p w14:paraId="5FFB5F98" w14:textId="77777777" w:rsidR="000D0DEF" w:rsidRPr="007F03CD" w:rsidRDefault="000D0DEF" w:rsidP="007F03CD">
            <w:pPr>
              <w:jc w:val="center"/>
              <w:rPr>
                <w:sz w:val="25"/>
                <w:szCs w:val="25"/>
              </w:rPr>
            </w:pPr>
          </w:p>
        </w:tc>
        <w:tc>
          <w:tcPr>
            <w:tcW w:w="884" w:type="dxa"/>
            <w:shd w:val="clear" w:color="auto" w:fill="173162"/>
            <w:vAlign w:val="center"/>
          </w:tcPr>
          <w:p w14:paraId="498F3571" w14:textId="7EA47EDD" w:rsidR="000D0DEF" w:rsidRPr="007F03CD" w:rsidRDefault="007F03CD" w:rsidP="007F03CD">
            <w:pPr>
              <w:jc w:val="center"/>
              <w:rPr>
                <w:sz w:val="25"/>
                <w:szCs w:val="25"/>
              </w:rPr>
            </w:pPr>
            <w:r w:rsidRPr="007F03CD">
              <w:rPr>
                <w:sz w:val="25"/>
                <w:szCs w:val="25"/>
              </w:rPr>
              <w:t>x</w:t>
            </w:r>
          </w:p>
        </w:tc>
        <w:tc>
          <w:tcPr>
            <w:tcW w:w="882" w:type="dxa"/>
            <w:shd w:val="clear" w:color="auto" w:fill="173162"/>
            <w:vAlign w:val="center"/>
          </w:tcPr>
          <w:p w14:paraId="1602071F" w14:textId="329BC286" w:rsidR="000D0DEF" w:rsidRPr="007F03CD" w:rsidRDefault="007F03CD" w:rsidP="007F03CD">
            <w:pPr>
              <w:jc w:val="center"/>
              <w:rPr>
                <w:sz w:val="25"/>
                <w:szCs w:val="25"/>
              </w:rPr>
            </w:pPr>
            <w:r w:rsidRPr="007F03CD">
              <w:rPr>
                <w:sz w:val="25"/>
                <w:szCs w:val="25"/>
              </w:rPr>
              <w:t>x</w:t>
            </w:r>
          </w:p>
        </w:tc>
        <w:tc>
          <w:tcPr>
            <w:tcW w:w="874" w:type="dxa"/>
            <w:vAlign w:val="center"/>
          </w:tcPr>
          <w:p w14:paraId="66D7E648" w14:textId="77777777" w:rsidR="000D0DEF" w:rsidRPr="007F03CD" w:rsidRDefault="000D0DEF" w:rsidP="007F03CD">
            <w:pPr>
              <w:jc w:val="center"/>
              <w:rPr>
                <w:sz w:val="25"/>
                <w:szCs w:val="25"/>
              </w:rPr>
            </w:pPr>
          </w:p>
        </w:tc>
      </w:tr>
      <w:tr w:rsidR="000D0DEF" w14:paraId="4E74F7D9" w14:textId="77777777" w:rsidTr="007F03CD">
        <w:trPr>
          <w:trHeight w:val="300"/>
        </w:trPr>
        <w:tc>
          <w:tcPr>
            <w:tcW w:w="4248" w:type="dxa"/>
          </w:tcPr>
          <w:p w14:paraId="38D5F58D" w14:textId="77777777" w:rsidR="000D0DEF" w:rsidRDefault="3081CD81" w:rsidP="1A6DFC8B">
            <w:pPr>
              <w:spacing w:after="200" w:line="259" w:lineRule="auto"/>
              <w:rPr>
                <w:sz w:val="25"/>
                <w:szCs w:val="25"/>
              </w:rPr>
            </w:pPr>
            <w:r w:rsidRPr="1A6DFC8B">
              <w:rPr>
                <w:sz w:val="25"/>
                <w:szCs w:val="25"/>
              </w:rPr>
              <w:t>Undertake an analysis of potential health-based needs codes for the Priority Services Register</w:t>
            </w:r>
          </w:p>
        </w:tc>
        <w:tc>
          <w:tcPr>
            <w:tcW w:w="2457" w:type="dxa"/>
          </w:tcPr>
          <w:p w14:paraId="0339FD31" w14:textId="79E8054F" w:rsidR="000D0DEF" w:rsidRDefault="497E5335" w:rsidP="1A6DFC8B">
            <w:pPr>
              <w:rPr>
                <w:sz w:val="25"/>
                <w:szCs w:val="25"/>
              </w:rPr>
            </w:pPr>
            <w:r w:rsidRPr="1A6DFC8B">
              <w:rPr>
                <w:sz w:val="25"/>
                <w:szCs w:val="25"/>
              </w:rPr>
              <w:t xml:space="preserve">Ofgem, </w:t>
            </w:r>
            <w:r w:rsidR="2E22B819" w:rsidRPr="1A6DFC8B">
              <w:rPr>
                <w:sz w:val="25"/>
                <w:szCs w:val="25"/>
              </w:rPr>
              <w:t xml:space="preserve">DNOs, GDNs, Ofwat, water companies, </w:t>
            </w:r>
            <w:r w:rsidRPr="1A6DFC8B">
              <w:rPr>
                <w:sz w:val="25"/>
                <w:szCs w:val="25"/>
              </w:rPr>
              <w:t xml:space="preserve">suppliers &amp; healthcare providers </w:t>
            </w:r>
          </w:p>
        </w:tc>
        <w:tc>
          <w:tcPr>
            <w:tcW w:w="855" w:type="dxa"/>
            <w:vAlign w:val="center"/>
          </w:tcPr>
          <w:p w14:paraId="62B2E18B" w14:textId="77777777" w:rsidR="000D0DEF" w:rsidRPr="007F03CD" w:rsidRDefault="000D0DEF" w:rsidP="007F03CD">
            <w:pPr>
              <w:jc w:val="center"/>
              <w:rPr>
                <w:sz w:val="25"/>
                <w:szCs w:val="25"/>
              </w:rPr>
            </w:pPr>
          </w:p>
        </w:tc>
        <w:tc>
          <w:tcPr>
            <w:tcW w:w="884" w:type="dxa"/>
            <w:shd w:val="clear" w:color="auto" w:fill="173162"/>
            <w:vAlign w:val="center"/>
          </w:tcPr>
          <w:p w14:paraId="038379CD" w14:textId="5146EF9E" w:rsidR="000D0DEF" w:rsidRPr="007F03CD" w:rsidRDefault="007F03CD" w:rsidP="007F03CD">
            <w:pPr>
              <w:jc w:val="center"/>
              <w:rPr>
                <w:sz w:val="25"/>
                <w:szCs w:val="25"/>
              </w:rPr>
            </w:pPr>
            <w:r w:rsidRPr="007F03CD">
              <w:rPr>
                <w:sz w:val="25"/>
                <w:szCs w:val="25"/>
              </w:rPr>
              <w:t>x</w:t>
            </w:r>
          </w:p>
        </w:tc>
        <w:tc>
          <w:tcPr>
            <w:tcW w:w="882" w:type="dxa"/>
            <w:vAlign w:val="center"/>
          </w:tcPr>
          <w:p w14:paraId="65E471F5" w14:textId="77777777" w:rsidR="000D0DEF" w:rsidRPr="007F03CD" w:rsidRDefault="000D0DEF" w:rsidP="007F03CD">
            <w:pPr>
              <w:jc w:val="center"/>
              <w:rPr>
                <w:sz w:val="25"/>
                <w:szCs w:val="25"/>
              </w:rPr>
            </w:pPr>
          </w:p>
        </w:tc>
        <w:tc>
          <w:tcPr>
            <w:tcW w:w="874" w:type="dxa"/>
            <w:vAlign w:val="center"/>
          </w:tcPr>
          <w:p w14:paraId="07F49E99" w14:textId="77777777" w:rsidR="000D0DEF" w:rsidRPr="007F03CD" w:rsidRDefault="000D0DEF" w:rsidP="007F03CD">
            <w:pPr>
              <w:jc w:val="center"/>
              <w:rPr>
                <w:sz w:val="25"/>
                <w:szCs w:val="25"/>
              </w:rPr>
            </w:pPr>
          </w:p>
        </w:tc>
      </w:tr>
      <w:tr w:rsidR="000D0DEF" w14:paraId="60574243" w14:textId="77777777" w:rsidTr="007F03CD">
        <w:trPr>
          <w:trHeight w:val="300"/>
        </w:trPr>
        <w:tc>
          <w:tcPr>
            <w:tcW w:w="4248" w:type="dxa"/>
          </w:tcPr>
          <w:p w14:paraId="7855165F" w14:textId="77777777" w:rsidR="000D0DEF" w:rsidRDefault="3081CD81" w:rsidP="1A6DFC8B">
            <w:pPr>
              <w:spacing w:line="259" w:lineRule="auto"/>
              <w:rPr>
                <w:sz w:val="25"/>
                <w:szCs w:val="25"/>
              </w:rPr>
            </w:pPr>
            <w:r w:rsidRPr="1A6DFC8B">
              <w:rPr>
                <w:sz w:val="25"/>
                <w:szCs w:val="25"/>
              </w:rPr>
              <w:t>Implement needs codes for the Priority Services Register</w:t>
            </w:r>
          </w:p>
        </w:tc>
        <w:tc>
          <w:tcPr>
            <w:tcW w:w="2457" w:type="dxa"/>
          </w:tcPr>
          <w:p w14:paraId="734832D8" w14:textId="77777777" w:rsidR="000D0DEF" w:rsidRDefault="3081CD81" w:rsidP="1A6DFC8B">
            <w:pPr>
              <w:rPr>
                <w:sz w:val="25"/>
                <w:szCs w:val="25"/>
              </w:rPr>
            </w:pPr>
            <w:r w:rsidRPr="1A6DFC8B">
              <w:rPr>
                <w:sz w:val="25"/>
                <w:szCs w:val="25"/>
              </w:rPr>
              <w:t>Ofgem &amp; suppliers</w:t>
            </w:r>
          </w:p>
        </w:tc>
        <w:tc>
          <w:tcPr>
            <w:tcW w:w="855" w:type="dxa"/>
            <w:vAlign w:val="center"/>
          </w:tcPr>
          <w:p w14:paraId="33D37DE2" w14:textId="77777777" w:rsidR="000D0DEF" w:rsidRPr="007F03CD" w:rsidRDefault="000D0DEF" w:rsidP="007F03CD">
            <w:pPr>
              <w:jc w:val="center"/>
              <w:rPr>
                <w:sz w:val="25"/>
                <w:szCs w:val="25"/>
              </w:rPr>
            </w:pPr>
          </w:p>
        </w:tc>
        <w:tc>
          <w:tcPr>
            <w:tcW w:w="884" w:type="dxa"/>
            <w:shd w:val="clear" w:color="auto" w:fill="173162"/>
            <w:vAlign w:val="center"/>
          </w:tcPr>
          <w:p w14:paraId="539112DA" w14:textId="6569B23C" w:rsidR="000D0DEF" w:rsidRPr="007F03CD" w:rsidRDefault="007F03CD" w:rsidP="007F03CD">
            <w:pPr>
              <w:jc w:val="center"/>
              <w:rPr>
                <w:sz w:val="25"/>
                <w:szCs w:val="25"/>
              </w:rPr>
            </w:pPr>
            <w:r w:rsidRPr="007F03CD">
              <w:rPr>
                <w:sz w:val="25"/>
                <w:szCs w:val="25"/>
              </w:rPr>
              <w:t>x</w:t>
            </w:r>
          </w:p>
        </w:tc>
        <w:tc>
          <w:tcPr>
            <w:tcW w:w="882" w:type="dxa"/>
            <w:shd w:val="clear" w:color="auto" w:fill="173162"/>
            <w:vAlign w:val="center"/>
          </w:tcPr>
          <w:p w14:paraId="7F8D2788" w14:textId="26ACF8A8" w:rsidR="000D0DEF" w:rsidRPr="007F03CD" w:rsidRDefault="007F03CD" w:rsidP="007F03CD">
            <w:pPr>
              <w:jc w:val="center"/>
              <w:rPr>
                <w:sz w:val="25"/>
                <w:szCs w:val="25"/>
              </w:rPr>
            </w:pPr>
            <w:r w:rsidRPr="007F03CD">
              <w:rPr>
                <w:sz w:val="25"/>
                <w:szCs w:val="25"/>
              </w:rPr>
              <w:t>x</w:t>
            </w:r>
          </w:p>
        </w:tc>
        <w:tc>
          <w:tcPr>
            <w:tcW w:w="874" w:type="dxa"/>
            <w:vAlign w:val="center"/>
          </w:tcPr>
          <w:p w14:paraId="653293A6" w14:textId="77777777" w:rsidR="000D0DEF" w:rsidRPr="007F03CD" w:rsidRDefault="000D0DEF" w:rsidP="007F03CD">
            <w:pPr>
              <w:jc w:val="center"/>
              <w:rPr>
                <w:sz w:val="25"/>
                <w:szCs w:val="25"/>
              </w:rPr>
            </w:pPr>
          </w:p>
        </w:tc>
      </w:tr>
      <w:tr w:rsidR="000D0DEF" w14:paraId="3CE0E087" w14:textId="77777777" w:rsidTr="007F03CD">
        <w:trPr>
          <w:trHeight w:val="300"/>
        </w:trPr>
        <w:tc>
          <w:tcPr>
            <w:tcW w:w="4248" w:type="dxa"/>
          </w:tcPr>
          <w:p w14:paraId="0E95E0F4" w14:textId="77777777" w:rsidR="000D0DEF" w:rsidRDefault="3081CD81" w:rsidP="1A6DFC8B">
            <w:pPr>
              <w:rPr>
                <w:sz w:val="25"/>
                <w:szCs w:val="25"/>
              </w:rPr>
            </w:pPr>
            <w:r w:rsidRPr="1A6DFC8B">
              <w:rPr>
                <w:sz w:val="25"/>
                <w:szCs w:val="25"/>
              </w:rPr>
              <w:t>Complete household aggregation of income data</w:t>
            </w:r>
          </w:p>
        </w:tc>
        <w:tc>
          <w:tcPr>
            <w:tcW w:w="2457" w:type="dxa"/>
          </w:tcPr>
          <w:p w14:paraId="26E3B799" w14:textId="77777777" w:rsidR="000D0DEF" w:rsidRDefault="3081CD81" w:rsidP="1A6DFC8B">
            <w:pPr>
              <w:rPr>
                <w:sz w:val="25"/>
                <w:szCs w:val="25"/>
              </w:rPr>
            </w:pPr>
            <w:r w:rsidRPr="1A6DFC8B">
              <w:rPr>
                <w:sz w:val="25"/>
                <w:szCs w:val="25"/>
              </w:rPr>
              <w:t>HMRC</w:t>
            </w:r>
          </w:p>
        </w:tc>
        <w:tc>
          <w:tcPr>
            <w:tcW w:w="855" w:type="dxa"/>
            <w:vAlign w:val="center"/>
          </w:tcPr>
          <w:p w14:paraId="090742F3" w14:textId="77777777" w:rsidR="000D0DEF" w:rsidRPr="007F03CD" w:rsidRDefault="000D0DEF" w:rsidP="007F03CD">
            <w:pPr>
              <w:jc w:val="center"/>
              <w:rPr>
                <w:sz w:val="25"/>
                <w:szCs w:val="25"/>
              </w:rPr>
            </w:pPr>
          </w:p>
        </w:tc>
        <w:tc>
          <w:tcPr>
            <w:tcW w:w="884" w:type="dxa"/>
            <w:vAlign w:val="center"/>
          </w:tcPr>
          <w:p w14:paraId="76A019FF" w14:textId="77777777" w:rsidR="000D0DEF" w:rsidRPr="007F03CD" w:rsidRDefault="000D0DEF" w:rsidP="007F03CD">
            <w:pPr>
              <w:jc w:val="center"/>
              <w:rPr>
                <w:sz w:val="25"/>
                <w:szCs w:val="25"/>
              </w:rPr>
            </w:pPr>
          </w:p>
        </w:tc>
        <w:tc>
          <w:tcPr>
            <w:tcW w:w="882" w:type="dxa"/>
            <w:shd w:val="clear" w:color="auto" w:fill="173162"/>
            <w:vAlign w:val="center"/>
          </w:tcPr>
          <w:p w14:paraId="771254E7" w14:textId="31C6F0DB" w:rsidR="000D0DEF" w:rsidRPr="007F03CD" w:rsidRDefault="007F03CD" w:rsidP="007F03CD">
            <w:pPr>
              <w:jc w:val="center"/>
              <w:rPr>
                <w:sz w:val="25"/>
                <w:szCs w:val="25"/>
              </w:rPr>
            </w:pPr>
            <w:r w:rsidRPr="007F03CD">
              <w:rPr>
                <w:sz w:val="25"/>
                <w:szCs w:val="25"/>
              </w:rPr>
              <w:t>x</w:t>
            </w:r>
          </w:p>
        </w:tc>
        <w:tc>
          <w:tcPr>
            <w:tcW w:w="874" w:type="dxa"/>
            <w:vAlign w:val="center"/>
          </w:tcPr>
          <w:p w14:paraId="15501922" w14:textId="77777777" w:rsidR="000D0DEF" w:rsidRPr="007F03CD" w:rsidRDefault="000D0DEF" w:rsidP="007F03CD">
            <w:pPr>
              <w:jc w:val="center"/>
              <w:rPr>
                <w:sz w:val="25"/>
                <w:szCs w:val="25"/>
              </w:rPr>
            </w:pPr>
          </w:p>
        </w:tc>
      </w:tr>
      <w:tr w:rsidR="000D0DEF" w14:paraId="6F85571A" w14:textId="77777777" w:rsidTr="007F03CD">
        <w:trPr>
          <w:trHeight w:val="300"/>
        </w:trPr>
        <w:tc>
          <w:tcPr>
            <w:tcW w:w="4248" w:type="dxa"/>
          </w:tcPr>
          <w:p w14:paraId="1A127735" w14:textId="77777777" w:rsidR="000D0DEF" w:rsidRDefault="3081CD81" w:rsidP="1A6DFC8B">
            <w:pPr>
              <w:rPr>
                <w:sz w:val="25"/>
                <w:szCs w:val="25"/>
              </w:rPr>
            </w:pPr>
            <w:r w:rsidRPr="1A6DFC8B">
              <w:rPr>
                <w:sz w:val="25"/>
                <w:szCs w:val="25"/>
              </w:rPr>
              <w:t xml:space="preserve">Implement a formula-based income-linked targeted bill support payment </w:t>
            </w:r>
          </w:p>
        </w:tc>
        <w:tc>
          <w:tcPr>
            <w:tcW w:w="2457" w:type="dxa"/>
          </w:tcPr>
          <w:p w14:paraId="5173EFC3" w14:textId="77777777" w:rsidR="000D0DEF" w:rsidRDefault="3081CD81" w:rsidP="1A6DFC8B">
            <w:pPr>
              <w:rPr>
                <w:sz w:val="25"/>
                <w:szCs w:val="25"/>
              </w:rPr>
            </w:pPr>
            <w:r w:rsidRPr="1A6DFC8B">
              <w:rPr>
                <w:sz w:val="25"/>
                <w:szCs w:val="25"/>
              </w:rPr>
              <w:t>DESNZ, HMT, appointed data processor &amp; suppliers</w:t>
            </w:r>
          </w:p>
        </w:tc>
        <w:tc>
          <w:tcPr>
            <w:tcW w:w="855" w:type="dxa"/>
            <w:vAlign w:val="center"/>
          </w:tcPr>
          <w:p w14:paraId="67C1FEED" w14:textId="77777777" w:rsidR="000D0DEF" w:rsidRPr="007F03CD" w:rsidRDefault="000D0DEF" w:rsidP="007F03CD">
            <w:pPr>
              <w:jc w:val="center"/>
              <w:rPr>
                <w:sz w:val="25"/>
                <w:szCs w:val="25"/>
              </w:rPr>
            </w:pPr>
          </w:p>
        </w:tc>
        <w:tc>
          <w:tcPr>
            <w:tcW w:w="884" w:type="dxa"/>
            <w:vAlign w:val="center"/>
          </w:tcPr>
          <w:p w14:paraId="185DCA4D" w14:textId="77777777" w:rsidR="000D0DEF" w:rsidRPr="007F03CD" w:rsidRDefault="000D0DEF" w:rsidP="007F03CD">
            <w:pPr>
              <w:jc w:val="center"/>
              <w:rPr>
                <w:sz w:val="25"/>
                <w:szCs w:val="25"/>
              </w:rPr>
            </w:pPr>
          </w:p>
        </w:tc>
        <w:tc>
          <w:tcPr>
            <w:tcW w:w="882" w:type="dxa"/>
            <w:shd w:val="clear" w:color="auto" w:fill="173162"/>
            <w:vAlign w:val="center"/>
          </w:tcPr>
          <w:p w14:paraId="6126BDA5" w14:textId="42A93591" w:rsidR="000D0DEF" w:rsidRPr="007F03CD" w:rsidRDefault="007F03CD" w:rsidP="007F03CD">
            <w:pPr>
              <w:jc w:val="center"/>
              <w:rPr>
                <w:sz w:val="25"/>
                <w:szCs w:val="25"/>
              </w:rPr>
            </w:pPr>
            <w:r w:rsidRPr="007F03CD">
              <w:rPr>
                <w:sz w:val="25"/>
                <w:szCs w:val="25"/>
              </w:rPr>
              <w:t>x</w:t>
            </w:r>
          </w:p>
        </w:tc>
        <w:tc>
          <w:tcPr>
            <w:tcW w:w="874" w:type="dxa"/>
            <w:shd w:val="clear" w:color="auto" w:fill="173162"/>
            <w:vAlign w:val="center"/>
          </w:tcPr>
          <w:p w14:paraId="26463C55" w14:textId="68F6FFDA" w:rsidR="000D0DEF" w:rsidRPr="007F03CD" w:rsidRDefault="007F03CD" w:rsidP="007F03CD">
            <w:pPr>
              <w:jc w:val="center"/>
              <w:rPr>
                <w:sz w:val="25"/>
                <w:szCs w:val="25"/>
              </w:rPr>
            </w:pPr>
            <w:r w:rsidRPr="007F03CD">
              <w:rPr>
                <w:sz w:val="25"/>
                <w:szCs w:val="25"/>
              </w:rPr>
              <w:t>x</w:t>
            </w:r>
          </w:p>
        </w:tc>
      </w:tr>
    </w:tbl>
    <w:p w14:paraId="696B728F" w14:textId="5807D7D1" w:rsidR="000D0DEF" w:rsidRPr="004C799D" w:rsidRDefault="007F03CD" w:rsidP="000D0DEF">
      <w:pPr>
        <w:rPr>
          <w:sz w:val="28"/>
          <w:szCs w:val="28"/>
        </w:rPr>
      </w:pPr>
      <w:r w:rsidRPr="004C799D">
        <w:rPr>
          <w:sz w:val="28"/>
          <w:szCs w:val="28"/>
        </w:rPr>
        <w:br/>
        <w:t xml:space="preserve">Note: </w:t>
      </w:r>
      <w:r w:rsidR="002E4076" w:rsidRPr="004C799D">
        <w:rPr>
          <w:sz w:val="28"/>
          <w:szCs w:val="28"/>
        </w:rPr>
        <w:t xml:space="preserve">For accessibility, </w:t>
      </w:r>
      <w:r w:rsidR="00D26E14" w:rsidRPr="004C799D">
        <w:rPr>
          <w:sz w:val="28"/>
          <w:szCs w:val="28"/>
        </w:rPr>
        <w:t xml:space="preserve">the x denotes a coloured </w:t>
      </w:r>
      <w:r w:rsidR="00D13CB8" w:rsidRPr="004C799D">
        <w:rPr>
          <w:sz w:val="28"/>
          <w:szCs w:val="28"/>
        </w:rPr>
        <w:t>square in the timeline.</w:t>
      </w:r>
    </w:p>
    <w:p w14:paraId="04AFBAC9" w14:textId="77777777" w:rsidR="001A5E58" w:rsidRDefault="00F84F72">
      <w:pPr>
        <w:pStyle w:val="Heading1"/>
        <w:spacing w:after="1000" w:line="227" w:lineRule="auto"/>
        <w:ind w:left="0" w:firstLine="0"/>
        <w:rPr>
          <w:sz w:val="78"/>
          <w:szCs w:val="78"/>
        </w:rPr>
      </w:pPr>
      <w:bookmarkStart w:id="5" w:name="_Toc202861063"/>
      <w:r>
        <w:rPr>
          <w:sz w:val="78"/>
          <w:szCs w:val="78"/>
        </w:rPr>
        <w:lastRenderedPageBreak/>
        <w:t>01 The affordability challenge</w:t>
      </w:r>
      <w:bookmarkEnd w:id="5"/>
    </w:p>
    <w:p w14:paraId="4718EDA2" w14:textId="4ABF3F9F" w:rsidR="00775207" w:rsidRDefault="1536D120" w:rsidP="00C319FA">
      <w:pPr>
        <w:spacing w:before="200" w:after="120"/>
        <w:rPr>
          <w:sz w:val="28"/>
          <w:szCs w:val="28"/>
        </w:rPr>
      </w:pPr>
      <w:r w:rsidRPr="7E2D8D79">
        <w:rPr>
          <w:sz w:val="28"/>
          <w:szCs w:val="28"/>
        </w:rPr>
        <w:t>Energy bills are unaffordable for millions of household</w:t>
      </w:r>
      <w:r w:rsidR="005B1EA8">
        <w:rPr>
          <w:sz w:val="28"/>
          <w:szCs w:val="28"/>
        </w:rPr>
        <w:t xml:space="preserve">s, </w:t>
      </w:r>
      <w:r w:rsidR="001501C7">
        <w:rPr>
          <w:sz w:val="28"/>
          <w:szCs w:val="28"/>
        </w:rPr>
        <w:t>which is driving</w:t>
      </w:r>
      <w:r w:rsidR="00341B6C">
        <w:rPr>
          <w:sz w:val="28"/>
          <w:szCs w:val="28"/>
        </w:rPr>
        <w:t xml:space="preserve"> </w:t>
      </w:r>
      <w:r w:rsidR="005B1EA8">
        <w:rPr>
          <w:sz w:val="28"/>
          <w:szCs w:val="28"/>
        </w:rPr>
        <w:t>a wider cost of living crisis. Recent polling by Public First finds that households are most likely to say the cost of living is the most important issue facing the country at this time.</w:t>
      </w:r>
      <w:r w:rsidR="005B1EA8">
        <w:rPr>
          <w:rStyle w:val="FootnoteReference"/>
          <w:sz w:val="28"/>
          <w:szCs w:val="28"/>
        </w:rPr>
        <w:footnoteReference w:id="1"/>
      </w:r>
      <w:r w:rsidRPr="7E2D8D79">
        <w:rPr>
          <w:sz w:val="28"/>
          <w:szCs w:val="28"/>
        </w:rPr>
        <w:t xml:space="preserve"> </w:t>
      </w:r>
      <w:r w:rsidR="00341B6C">
        <w:rPr>
          <w:sz w:val="28"/>
          <w:szCs w:val="28"/>
        </w:rPr>
        <w:t xml:space="preserve">As households struggle to afford </w:t>
      </w:r>
      <w:r w:rsidR="00C319FA">
        <w:rPr>
          <w:sz w:val="28"/>
          <w:szCs w:val="28"/>
        </w:rPr>
        <w:t>essentials</w:t>
      </w:r>
      <w:r w:rsidR="00341B6C">
        <w:rPr>
          <w:sz w:val="28"/>
          <w:szCs w:val="28"/>
        </w:rPr>
        <w:t xml:space="preserve">, </w:t>
      </w:r>
      <w:r w:rsidR="001501C7">
        <w:rPr>
          <w:sz w:val="28"/>
          <w:szCs w:val="28"/>
        </w:rPr>
        <w:t xml:space="preserve">many are falling behind in their energy bill payments or cutting back on their usage. The most recent official figures from Ofgem show that </w:t>
      </w:r>
      <w:r w:rsidR="00341B6C">
        <w:rPr>
          <w:sz w:val="28"/>
          <w:szCs w:val="28"/>
        </w:rPr>
        <w:t xml:space="preserve">around 2 million have fallen into debt and arrears </w:t>
      </w:r>
      <w:r w:rsidR="00C319FA">
        <w:rPr>
          <w:sz w:val="28"/>
          <w:szCs w:val="28"/>
        </w:rPr>
        <w:t xml:space="preserve">on their energy bills </w:t>
      </w:r>
      <w:r w:rsidR="00670546">
        <w:rPr>
          <w:sz w:val="28"/>
          <w:szCs w:val="28"/>
        </w:rPr>
        <w:t>in Q1 2025</w:t>
      </w:r>
      <w:r w:rsidR="00C319FA">
        <w:rPr>
          <w:sz w:val="28"/>
          <w:szCs w:val="28"/>
        </w:rPr>
        <w:t>, totalling £4.15bn.</w:t>
      </w:r>
      <w:r w:rsidR="00C319FA">
        <w:rPr>
          <w:sz w:val="28"/>
          <w:szCs w:val="28"/>
          <w:vertAlign w:val="superscript"/>
        </w:rPr>
        <w:footnoteReference w:id="2"/>
      </w:r>
      <w:r w:rsidR="00C319FA">
        <w:rPr>
          <w:sz w:val="28"/>
          <w:szCs w:val="28"/>
        </w:rPr>
        <w:t xml:space="preserve"> As well as this,</w:t>
      </w:r>
      <w:r w:rsidR="00341B6C">
        <w:rPr>
          <w:sz w:val="28"/>
          <w:szCs w:val="28"/>
        </w:rPr>
        <w:t xml:space="preserve"> nearly</w:t>
      </w:r>
      <w:r w:rsidR="00C319FA">
        <w:rPr>
          <w:sz w:val="28"/>
          <w:szCs w:val="28"/>
        </w:rPr>
        <w:t xml:space="preserve"> 800,000 households </w:t>
      </w:r>
      <w:r w:rsidR="00341B6C">
        <w:rPr>
          <w:sz w:val="28"/>
          <w:szCs w:val="28"/>
        </w:rPr>
        <w:t xml:space="preserve">on smart prepayment meters were self-disconnecting </w:t>
      </w:r>
      <w:r w:rsidR="00C319FA">
        <w:rPr>
          <w:sz w:val="28"/>
          <w:szCs w:val="28"/>
        </w:rPr>
        <w:t xml:space="preserve">at least once </w:t>
      </w:r>
      <w:r w:rsidR="00341B6C">
        <w:rPr>
          <w:sz w:val="28"/>
          <w:szCs w:val="28"/>
        </w:rPr>
        <w:t xml:space="preserve">to ration their </w:t>
      </w:r>
      <w:r w:rsidR="001501C7">
        <w:rPr>
          <w:sz w:val="28"/>
          <w:szCs w:val="28"/>
        </w:rPr>
        <w:t>consumption</w:t>
      </w:r>
      <w:r w:rsidR="00341B6C">
        <w:rPr>
          <w:sz w:val="28"/>
          <w:szCs w:val="28"/>
        </w:rPr>
        <w:t>.</w:t>
      </w:r>
      <w:r w:rsidR="00B41708">
        <w:rPr>
          <w:sz w:val="28"/>
          <w:szCs w:val="28"/>
          <w:vertAlign w:val="superscript"/>
        </w:rPr>
        <w:footnoteReference w:id="3"/>
      </w:r>
      <w:r w:rsidR="001501C7">
        <w:rPr>
          <w:sz w:val="28"/>
          <w:szCs w:val="28"/>
        </w:rPr>
        <w:t xml:space="preserve"> </w:t>
      </w:r>
      <w:r w:rsidR="00775207">
        <w:rPr>
          <w:sz w:val="28"/>
          <w:szCs w:val="28"/>
        </w:rPr>
        <w:t>As of January 2025, National Energy Action estimates that 6.1 million UK households are in fuel poverty.</w:t>
      </w:r>
    </w:p>
    <w:p w14:paraId="3AAC1240" w14:textId="17D946E2" w:rsidR="001A5E58" w:rsidRDefault="04E5CFAD" w:rsidP="3C85173F">
      <w:pPr>
        <w:spacing w:before="200" w:after="120"/>
        <w:rPr>
          <w:sz w:val="28"/>
          <w:szCs w:val="28"/>
        </w:rPr>
      </w:pPr>
      <w:r w:rsidRPr="3C85173F">
        <w:rPr>
          <w:sz w:val="28"/>
          <w:szCs w:val="28"/>
        </w:rPr>
        <w:t xml:space="preserve">Multiple factors </w:t>
      </w:r>
      <w:r w:rsidR="75795898" w:rsidRPr="3C85173F">
        <w:rPr>
          <w:sz w:val="28"/>
          <w:szCs w:val="28"/>
        </w:rPr>
        <w:t>influence</w:t>
      </w:r>
      <w:r w:rsidRPr="3C85173F">
        <w:rPr>
          <w:sz w:val="28"/>
          <w:szCs w:val="28"/>
        </w:rPr>
        <w:t xml:space="preserve"> </w:t>
      </w:r>
      <w:r w:rsidR="75795898" w:rsidRPr="3C85173F">
        <w:rPr>
          <w:sz w:val="28"/>
          <w:szCs w:val="28"/>
        </w:rPr>
        <w:t>this affordability challenge,</w:t>
      </w:r>
      <w:r w:rsidR="71E812B3" w:rsidRPr="3C85173F">
        <w:rPr>
          <w:sz w:val="28"/>
          <w:szCs w:val="28"/>
        </w:rPr>
        <w:t xml:space="preserve"> including elevated prices following the recent gas crisis, as well as household and property circumstances that </w:t>
      </w:r>
      <w:r w:rsidR="75795898" w:rsidRPr="3C85173F">
        <w:rPr>
          <w:sz w:val="28"/>
          <w:szCs w:val="28"/>
        </w:rPr>
        <w:t>lead to high</w:t>
      </w:r>
      <w:r w:rsidR="5BB47E54" w:rsidRPr="3C85173F">
        <w:rPr>
          <w:sz w:val="28"/>
          <w:szCs w:val="28"/>
        </w:rPr>
        <w:t xml:space="preserve"> energy needs</w:t>
      </w:r>
      <w:r w:rsidR="71E812B3" w:rsidRPr="3C85173F">
        <w:rPr>
          <w:sz w:val="28"/>
          <w:szCs w:val="28"/>
        </w:rPr>
        <w:t xml:space="preserve">. </w:t>
      </w:r>
      <w:r w:rsidR="5A89FC79" w:rsidRPr="3C85173F">
        <w:rPr>
          <w:sz w:val="28"/>
          <w:szCs w:val="28"/>
        </w:rPr>
        <w:t xml:space="preserve">This chapter </w:t>
      </w:r>
      <w:r w:rsidR="71E812B3" w:rsidRPr="3C85173F">
        <w:rPr>
          <w:sz w:val="28"/>
          <w:szCs w:val="28"/>
        </w:rPr>
        <w:t>examines these factors in more detail</w:t>
      </w:r>
      <w:r w:rsidR="57B82D55" w:rsidRPr="3C85173F">
        <w:rPr>
          <w:sz w:val="28"/>
          <w:szCs w:val="28"/>
        </w:rPr>
        <w:t xml:space="preserve"> as well as the current landscape for bill support</w:t>
      </w:r>
      <w:r w:rsidR="7AB08E91" w:rsidRPr="3C85173F">
        <w:rPr>
          <w:sz w:val="28"/>
          <w:szCs w:val="28"/>
        </w:rPr>
        <w:t xml:space="preserve">, </w:t>
      </w:r>
      <w:r w:rsidR="38EB1205" w:rsidRPr="3C85173F">
        <w:rPr>
          <w:sz w:val="28"/>
          <w:szCs w:val="28"/>
        </w:rPr>
        <w:t>whereby</w:t>
      </w:r>
      <w:r w:rsidR="7AB08E91" w:rsidRPr="3C85173F">
        <w:rPr>
          <w:sz w:val="28"/>
          <w:szCs w:val="28"/>
        </w:rPr>
        <w:t xml:space="preserve"> the primary mechanism</w:t>
      </w:r>
      <w:r w:rsidR="152C332D" w:rsidRPr="3C85173F">
        <w:rPr>
          <w:sz w:val="28"/>
          <w:szCs w:val="28"/>
        </w:rPr>
        <w:t xml:space="preserve"> – </w:t>
      </w:r>
      <w:r w:rsidR="6DA58A91" w:rsidRPr="3C85173F">
        <w:rPr>
          <w:sz w:val="28"/>
          <w:szCs w:val="28"/>
        </w:rPr>
        <w:t>the</w:t>
      </w:r>
      <w:r w:rsidR="7AB08E91" w:rsidRPr="3C85173F">
        <w:rPr>
          <w:sz w:val="28"/>
          <w:szCs w:val="28"/>
        </w:rPr>
        <w:t xml:space="preserve"> </w:t>
      </w:r>
      <w:r w:rsidR="152C332D" w:rsidRPr="3C85173F">
        <w:rPr>
          <w:sz w:val="28"/>
          <w:szCs w:val="28"/>
        </w:rPr>
        <w:t xml:space="preserve">Warm Home Discount – </w:t>
      </w:r>
      <w:r w:rsidR="7AB08E91" w:rsidRPr="3C85173F">
        <w:rPr>
          <w:sz w:val="28"/>
          <w:szCs w:val="28"/>
        </w:rPr>
        <w:t xml:space="preserve">is set to </w:t>
      </w:r>
      <w:r w:rsidR="1EAC0972" w:rsidRPr="3C85173F">
        <w:rPr>
          <w:sz w:val="28"/>
          <w:szCs w:val="28"/>
        </w:rPr>
        <w:t>end</w:t>
      </w:r>
      <w:r w:rsidR="7AB08E91" w:rsidRPr="3C85173F">
        <w:rPr>
          <w:sz w:val="28"/>
          <w:szCs w:val="28"/>
        </w:rPr>
        <w:t xml:space="preserve"> in April 2026</w:t>
      </w:r>
      <w:r w:rsidR="71E812B3" w:rsidRPr="3C85173F">
        <w:rPr>
          <w:sz w:val="28"/>
          <w:szCs w:val="28"/>
        </w:rPr>
        <w:t xml:space="preserve">, </w:t>
      </w:r>
      <w:r w:rsidR="5BB47E54" w:rsidRPr="3C85173F">
        <w:rPr>
          <w:sz w:val="28"/>
          <w:szCs w:val="28"/>
        </w:rPr>
        <w:t xml:space="preserve">highlighting the </w:t>
      </w:r>
      <w:r w:rsidR="75795898" w:rsidRPr="3C85173F">
        <w:rPr>
          <w:sz w:val="28"/>
          <w:szCs w:val="28"/>
        </w:rPr>
        <w:t xml:space="preserve">urgent </w:t>
      </w:r>
      <w:r w:rsidR="5BB47E54" w:rsidRPr="3C85173F">
        <w:rPr>
          <w:sz w:val="28"/>
          <w:szCs w:val="28"/>
        </w:rPr>
        <w:t xml:space="preserve">need </w:t>
      </w:r>
      <w:r w:rsidR="57B82D55" w:rsidRPr="3C85173F">
        <w:rPr>
          <w:sz w:val="28"/>
          <w:szCs w:val="28"/>
        </w:rPr>
        <w:t>to address the affordability gap</w:t>
      </w:r>
      <w:r w:rsidR="75795898" w:rsidRPr="3C85173F">
        <w:rPr>
          <w:sz w:val="28"/>
          <w:szCs w:val="28"/>
        </w:rPr>
        <w:t xml:space="preserve">. </w:t>
      </w:r>
    </w:p>
    <w:p w14:paraId="7E8422CD" w14:textId="34712239" w:rsidR="01B6AD7B" w:rsidRDefault="57B82D55" w:rsidP="01B6AD7B">
      <w:pPr>
        <w:spacing w:before="200" w:after="120"/>
        <w:rPr>
          <w:sz w:val="28"/>
          <w:szCs w:val="28"/>
        </w:rPr>
      </w:pPr>
      <w:r w:rsidRPr="3870C9B7">
        <w:rPr>
          <w:sz w:val="28"/>
          <w:szCs w:val="28"/>
        </w:rPr>
        <w:t xml:space="preserve">This report makes the case for </w:t>
      </w:r>
      <w:bookmarkStart w:id="6" w:name="_p0vmysboijkd"/>
      <w:bookmarkEnd w:id="6"/>
      <w:r w:rsidR="7AB08E91" w:rsidRPr="3870C9B7">
        <w:rPr>
          <w:sz w:val="28"/>
          <w:szCs w:val="28"/>
        </w:rPr>
        <w:t xml:space="preserve">ensuring vulnerable energy customers are protected beyond 2026 through </w:t>
      </w:r>
      <w:r w:rsidR="574C0E84" w:rsidRPr="3870C9B7">
        <w:rPr>
          <w:sz w:val="28"/>
          <w:szCs w:val="28"/>
        </w:rPr>
        <w:t xml:space="preserve">an </w:t>
      </w:r>
      <w:r w:rsidR="7AB08E91" w:rsidRPr="3870C9B7">
        <w:rPr>
          <w:sz w:val="28"/>
          <w:szCs w:val="28"/>
        </w:rPr>
        <w:t xml:space="preserve">improved </w:t>
      </w:r>
      <w:r w:rsidR="2906C42D" w:rsidRPr="3870C9B7">
        <w:rPr>
          <w:sz w:val="28"/>
          <w:szCs w:val="28"/>
        </w:rPr>
        <w:t>mechanism</w:t>
      </w:r>
      <w:r w:rsidR="06AFD91E" w:rsidRPr="3870C9B7">
        <w:rPr>
          <w:sz w:val="28"/>
          <w:szCs w:val="28"/>
        </w:rPr>
        <w:t xml:space="preserve"> of </w:t>
      </w:r>
      <w:r w:rsidR="7AB08E91" w:rsidRPr="3870C9B7">
        <w:rPr>
          <w:sz w:val="28"/>
          <w:szCs w:val="28"/>
        </w:rPr>
        <w:t>targeted bill support.</w:t>
      </w:r>
    </w:p>
    <w:p w14:paraId="582F4C25" w14:textId="77777777" w:rsidR="0087583D" w:rsidRDefault="0087583D" w:rsidP="01B6AD7B">
      <w:pPr>
        <w:spacing w:before="200" w:after="120"/>
        <w:rPr>
          <w:sz w:val="28"/>
          <w:szCs w:val="28"/>
        </w:rPr>
      </w:pPr>
    </w:p>
    <w:p w14:paraId="775D3279" w14:textId="7AE62460" w:rsidR="0087583D" w:rsidRDefault="0087583D" w:rsidP="0087583D">
      <w:pPr>
        <w:pBdr>
          <w:top w:val="single" w:sz="8" w:space="1" w:color="auto"/>
          <w:left w:val="single" w:sz="8" w:space="4" w:color="auto"/>
          <w:bottom w:val="single" w:sz="8" w:space="1" w:color="auto"/>
          <w:right w:val="single" w:sz="8" w:space="4" w:color="auto"/>
        </w:pBdr>
        <w:spacing w:before="200" w:after="120"/>
        <w:rPr>
          <w:sz w:val="28"/>
          <w:szCs w:val="28"/>
        </w:rPr>
      </w:pPr>
      <w:r w:rsidRPr="0087583D">
        <w:rPr>
          <w:sz w:val="28"/>
          <w:szCs w:val="28"/>
        </w:rPr>
        <w:t>In this report, we use the term “vulnerable customers” as it reflects established terminology in the energy sector for households with high energy needs and affordability challenges. We recognise that Scope and other stakeholders do not use this language and instead use the social model of disability. We know this language implies a fixed or deficit-based view of disabled people’s lives, rather than recognising the barriers people face and the changes needed to create equality.</w:t>
      </w:r>
    </w:p>
    <w:p w14:paraId="2D9F1AB2" w14:textId="77777777" w:rsidR="00E25E68" w:rsidRDefault="00E25E68" w:rsidP="01B6AD7B">
      <w:pPr>
        <w:spacing w:before="200" w:after="120"/>
        <w:rPr>
          <w:sz w:val="28"/>
          <w:szCs w:val="28"/>
        </w:rPr>
      </w:pPr>
    </w:p>
    <w:p w14:paraId="0C853FCA" w14:textId="77777777" w:rsidR="001A5E58" w:rsidRPr="00362D16" w:rsidRDefault="5A4A5C02" w:rsidP="00362D16">
      <w:pPr>
        <w:pStyle w:val="Heading3"/>
        <w:rPr>
          <w:color w:val="3275C8"/>
          <w:sz w:val="32"/>
          <w:szCs w:val="32"/>
        </w:rPr>
      </w:pPr>
      <w:bookmarkStart w:id="7" w:name="_utw278vwj2xh"/>
      <w:bookmarkEnd w:id="7"/>
      <w:r w:rsidRPr="00362D16">
        <w:rPr>
          <w:color w:val="3275C8"/>
          <w:sz w:val="32"/>
          <w:szCs w:val="32"/>
        </w:rPr>
        <w:lastRenderedPageBreak/>
        <w:t xml:space="preserve">Energy prices have not returned to pre-crisis levels. </w:t>
      </w:r>
    </w:p>
    <w:p w14:paraId="6EECD0EB" w14:textId="68661645" w:rsidR="001A5E58" w:rsidRDefault="1536D120">
      <w:pPr>
        <w:rPr>
          <w:sz w:val="28"/>
          <w:szCs w:val="28"/>
        </w:rPr>
      </w:pPr>
      <w:r>
        <w:rPr>
          <w:sz w:val="28"/>
          <w:szCs w:val="28"/>
        </w:rPr>
        <w:t>The energy crisis of 2021-2023 has left a lasting impact on British households. Prices remain well above pre-crisis levels - on average, household energy bills today are over £700 (73%) more expensive than in winter 2021.</w:t>
      </w:r>
      <w:r w:rsidR="00F84F72">
        <w:rPr>
          <w:sz w:val="28"/>
          <w:szCs w:val="28"/>
          <w:vertAlign w:val="superscript"/>
        </w:rPr>
        <w:footnoteReference w:id="4"/>
      </w:r>
      <w:r>
        <w:rPr>
          <w:sz w:val="28"/>
          <w:szCs w:val="28"/>
        </w:rPr>
        <w:t xml:space="preserve"> This long tail of the crisis has a debilitating effect on households’ financial security and quality of life. </w:t>
      </w:r>
    </w:p>
    <w:p w14:paraId="408C50EE" w14:textId="4109C174" w:rsidR="001A5E58" w:rsidRDefault="3DE4D3F4" w:rsidP="001501C7">
      <w:pPr>
        <w:rPr>
          <w:sz w:val="28"/>
          <w:szCs w:val="28"/>
        </w:rPr>
      </w:pPr>
      <w:r>
        <w:rPr>
          <w:sz w:val="28"/>
          <w:szCs w:val="28"/>
        </w:rPr>
        <w:t>This has led to heightened concerns about the extent and depth of fuel poverty. Estimates in England suggest that on average, the fuel poverty gap, which measures the a</w:t>
      </w:r>
      <w:r w:rsidR="054259F7">
        <w:rPr>
          <w:sz w:val="28"/>
          <w:szCs w:val="28"/>
        </w:rPr>
        <w:t>mount by which energy bills would have to reduce to lift a household out of fuel poverty</w:t>
      </w:r>
      <w:r>
        <w:rPr>
          <w:sz w:val="28"/>
          <w:szCs w:val="28"/>
        </w:rPr>
        <w:t>, now stands at £407, up from £223 in 2020, before the crisis.</w:t>
      </w:r>
      <w:r w:rsidR="00F84F72">
        <w:rPr>
          <w:sz w:val="28"/>
          <w:szCs w:val="28"/>
          <w:vertAlign w:val="superscript"/>
        </w:rPr>
        <w:footnoteReference w:id="5"/>
      </w:r>
      <w:r>
        <w:rPr>
          <w:sz w:val="28"/>
          <w:szCs w:val="28"/>
        </w:rPr>
        <w:t xml:space="preserve"> </w:t>
      </w:r>
    </w:p>
    <w:p w14:paraId="1DE11F8B" w14:textId="77777777" w:rsidR="001501C7" w:rsidRDefault="001501C7" w:rsidP="001501C7">
      <w:pPr>
        <w:rPr>
          <w:b/>
          <w:sz w:val="28"/>
          <w:szCs w:val="28"/>
        </w:rPr>
      </w:pPr>
    </w:p>
    <w:p w14:paraId="6209A468" w14:textId="77777777" w:rsidR="001A5E58" w:rsidRPr="00344BBB" w:rsidRDefault="00F84F72">
      <w:pPr>
        <w:spacing w:before="200" w:after="120" w:line="348" w:lineRule="auto"/>
        <w:rPr>
          <w:iCs/>
          <w:sz w:val="28"/>
          <w:szCs w:val="28"/>
        </w:rPr>
      </w:pPr>
      <w:r>
        <w:rPr>
          <w:b/>
          <w:sz w:val="28"/>
          <w:szCs w:val="28"/>
        </w:rPr>
        <w:t xml:space="preserve">Figure 1: Average energy bills remain above pre-crisis levels. </w:t>
      </w:r>
      <w:r w:rsidRPr="00344BBB">
        <w:rPr>
          <w:iCs/>
          <w:sz w:val="28"/>
          <w:szCs w:val="28"/>
        </w:rPr>
        <w:t>Direct Debit Price Cap, 2019-2025.</w:t>
      </w:r>
    </w:p>
    <w:p w14:paraId="26F523D7" w14:textId="2177AEB3" w:rsidR="001A5E58" w:rsidRDefault="00B259C0">
      <w:pPr>
        <w:spacing w:before="200" w:after="120" w:line="348" w:lineRule="auto"/>
      </w:pPr>
      <w:r>
        <w:rPr>
          <w:noProof/>
        </w:rPr>
        <w:drawing>
          <wp:inline distT="0" distB="0" distL="0" distR="0" wp14:anchorId="5A3F2D84" wp14:editId="3B513777">
            <wp:extent cx="6479540" cy="4013835"/>
            <wp:effectExtent l="0" t="0" r="0" b="5715"/>
            <wp:docPr id="1831948996" name="Picture 1" descr="Line chart showing the Ofgem Direct Debit Price Cap from 2019 to 2025. Prices are stable around £1,000 per year until 2021, then rise steeply to a peak of about £2,500 in 2022–23 during the energy crisis. Although falling slightly in 2024–25, average bills remain around £1,700, still over £700 (73%) higher than in winter 2021. The chart illustrates that energy prices have not returned to pre-crisi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48996" name="Picture 1" descr="Line chart showing the Ofgem Direct Debit Price Cap from 2019 to 2025. Prices are stable around £1,000 per year until 2021, then rise steeply to a peak of about £2,500 in 2022–23 during the energy crisis. Although falling slightly in 2024–25, average bills remain around £1,700, still over £700 (73%) higher than in winter 2021. The chart illustrates that energy prices have not returned to pre-crisis leve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4013835"/>
                    </a:xfrm>
                    <a:prstGeom prst="rect">
                      <a:avLst/>
                    </a:prstGeom>
                    <a:noFill/>
                    <a:ln>
                      <a:noFill/>
                    </a:ln>
                  </pic:spPr>
                </pic:pic>
              </a:graphicData>
            </a:graphic>
          </wp:inline>
        </w:drawing>
      </w:r>
    </w:p>
    <w:p w14:paraId="256CC4D3" w14:textId="77777777" w:rsidR="001A5E58" w:rsidRPr="00344BBB" w:rsidRDefault="00F84F72">
      <w:pPr>
        <w:spacing w:before="200" w:after="120" w:line="348" w:lineRule="auto"/>
        <w:rPr>
          <w:iCs/>
          <w:sz w:val="24"/>
          <w:szCs w:val="24"/>
        </w:rPr>
      </w:pPr>
      <w:r w:rsidRPr="00344BBB">
        <w:rPr>
          <w:iCs/>
          <w:sz w:val="24"/>
          <w:szCs w:val="24"/>
        </w:rPr>
        <w:t>Source: Ofgem</w:t>
      </w:r>
    </w:p>
    <w:p w14:paraId="254927AF" w14:textId="75C24257" w:rsidR="00E715CB" w:rsidRDefault="5B43EAB0">
      <w:pPr>
        <w:rPr>
          <w:sz w:val="28"/>
          <w:szCs w:val="28"/>
        </w:rPr>
      </w:pPr>
      <w:r>
        <w:rPr>
          <w:sz w:val="28"/>
          <w:szCs w:val="28"/>
        </w:rPr>
        <w:lastRenderedPageBreak/>
        <w:t>As a devolved issue, fuel poverty is defined and measured differently across the nations. England uses a Low Income Low Energy Efficiency (LILEE) metric, which considers both household income and the efficiency of the home to capture the fact that some homes are poorly insulated and harder to heat. Using this definition, official statistics estimate that 2.7 million (11%) English households were fuel poor in 2024.</w:t>
      </w:r>
      <w:r w:rsidR="00F84F72">
        <w:rPr>
          <w:sz w:val="28"/>
          <w:szCs w:val="28"/>
          <w:vertAlign w:val="superscript"/>
        </w:rPr>
        <w:footnoteReference w:id="6"/>
      </w:r>
      <w:r>
        <w:rPr>
          <w:sz w:val="28"/>
          <w:szCs w:val="28"/>
        </w:rPr>
        <w:t xml:space="preserve"> By comparison, devolved nations use an affordability measure, defined as a household spending more than 10% of their income after housing costs on energy bills</w:t>
      </w:r>
      <w:r w:rsidR="56C91D8C">
        <w:rPr>
          <w:sz w:val="28"/>
          <w:szCs w:val="28"/>
        </w:rPr>
        <w:t xml:space="preserve"> while maintaining an adequate heating regime</w:t>
      </w:r>
      <w:r w:rsidR="44FC9B80">
        <w:rPr>
          <w:sz w:val="28"/>
          <w:szCs w:val="28"/>
        </w:rPr>
        <w:t xml:space="preserve"> – the heating regime </w:t>
      </w:r>
      <w:r w:rsidR="748EECBA">
        <w:rPr>
          <w:sz w:val="28"/>
          <w:szCs w:val="28"/>
        </w:rPr>
        <w:t xml:space="preserve">metric </w:t>
      </w:r>
      <w:r w:rsidR="44FC9B80">
        <w:rPr>
          <w:sz w:val="28"/>
          <w:szCs w:val="28"/>
        </w:rPr>
        <w:t xml:space="preserve">is also set by each nation based on </w:t>
      </w:r>
      <w:r w:rsidR="41328DF6">
        <w:rPr>
          <w:sz w:val="28"/>
          <w:szCs w:val="28"/>
        </w:rPr>
        <w:t>the home’s physical characteristics</w:t>
      </w:r>
      <w:r>
        <w:rPr>
          <w:sz w:val="28"/>
          <w:szCs w:val="28"/>
        </w:rPr>
        <w:t xml:space="preserve">. </w:t>
      </w:r>
      <w:r w:rsidR="39498334">
        <w:rPr>
          <w:sz w:val="28"/>
          <w:szCs w:val="28"/>
        </w:rPr>
        <w:t xml:space="preserve">As such, the LILEE measure risks underestimating the level of households experiencing affordability challenges and fuel poverty, missing those in need of support. </w:t>
      </w:r>
      <w:r w:rsidR="72F9F60C">
        <w:rPr>
          <w:sz w:val="28"/>
          <w:szCs w:val="28"/>
        </w:rPr>
        <w:t>This is primarily because the LILEE definition does not address the income-to-spend ratio in energy, meaning that a household above low-income or living in a more efficient home with high energy needs would not be considered fuel poor.</w:t>
      </w:r>
    </w:p>
    <w:p w14:paraId="7E063CE4" w14:textId="5FD11E34" w:rsidR="001A5E58" w:rsidRDefault="71E812B3">
      <w:pPr>
        <w:rPr>
          <w:sz w:val="28"/>
          <w:szCs w:val="28"/>
        </w:rPr>
      </w:pPr>
      <w:r>
        <w:rPr>
          <w:sz w:val="28"/>
          <w:szCs w:val="28"/>
        </w:rPr>
        <w:t>Scotland had an estimated 850,000 (34%) households living in fuel poverty in 2024.</w:t>
      </w:r>
      <w:r w:rsidR="00F84F72">
        <w:rPr>
          <w:sz w:val="28"/>
          <w:szCs w:val="28"/>
          <w:vertAlign w:val="superscript"/>
        </w:rPr>
        <w:footnoteReference w:id="7"/>
      </w:r>
      <w:r>
        <w:rPr>
          <w:sz w:val="28"/>
          <w:szCs w:val="28"/>
        </w:rPr>
        <w:t xml:space="preserve"> </w:t>
      </w:r>
      <w:r w:rsidRPr="7E2D8D79">
        <w:rPr>
          <w:sz w:val="28"/>
          <w:szCs w:val="28"/>
        </w:rPr>
        <w:t>Additionally, Wales has not produced official estimates of fuel poverty since 2021</w:t>
      </w:r>
      <w:r w:rsidR="7C23E6F9">
        <w:rPr>
          <w:sz w:val="28"/>
          <w:szCs w:val="28"/>
        </w:rPr>
        <w:t xml:space="preserve"> compared to more timely estimates from England (2024) and Scotland (2023)</w:t>
      </w:r>
      <w:r w:rsidRPr="7E2D8D79">
        <w:rPr>
          <w:sz w:val="28"/>
          <w:szCs w:val="28"/>
        </w:rPr>
        <w:t>. It is therefore unclear to what extent the energy crisis has impacted fuel poverty among Welsh households.</w:t>
      </w:r>
      <w:r w:rsidR="37DD9A3A">
        <w:rPr>
          <w:sz w:val="28"/>
          <w:szCs w:val="28"/>
        </w:rPr>
        <w:t xml:space="preserve"> </w:t>
      </w:r>
      <w:r w:rsidR="5F34B5BF">
        <w:rPr>
          <w:sz w:val="28"/>
          <w:szCs w:val="28"/>
        </w:rPr>
        <w:t>The most recent official figure for fuel poverty in Northern Ireland was in 2016 at 22%.</w:t>
      </w:r>
      <w:r w:rsidR="1536D120" w:rsidRPr="3C85173F">
        <w:rPr>
          <w:rStyle w:val="FootnoteReference"/>
          <w:sz w:val="28"/>
          <w:szCs w:val="28"/>
        </w:rPr>
        <w:footnoteReference w:id="8"/>
      </w:r>
      <w:r w:rsidR="5F34B5BF">
        <w:rPr>
          <w:sz w:val="28"/>
          <w:szCs w:val="28"/>
        </w:rPr>
        <w:t xml:space="preserve"> However, </w:t>
      </w:r>
      <w:r w:rsidR="6F46F31A">
        <w:rPr>
          <w:sz w:val="28"/>
          <w:szCs w:val="28"/>
        </w:rPr>
        <w:t xml:space="preserve">in </w:t>
      </w:r>
      <w:r w:rsidR="6AEF1E31">
        <w:rPr>
          <w:sz w:val="28"/>
          <w:szCs w:val="28"/>
        </w:rPr>
        <w:t xml:space="preserve">September </w:t>
      </w:r>
      <w:r w:rsidR="6F46F31A">
        <w:rPr>
          <w:sz w:val="28"/>
          <w:szCs w:val="28"/>
        </w:rPr>
        <w:t>2024,</w:t>
      </w:r>
      <w:r w:rsidR="61ECF78F">
        <w:rPr>
          <w:sz w:val="28"/>
          <w:szCs w:val="28"/>
        </w:rPr>
        <w:t xml:space="preserve"> polling by </w:t>
      </w:r>
      <w:proofErr w:type="spellStart"/>
      <w:r w:rsidR="61ECF78F">
        <w:rPr>
          <w:sz w:val="28"/>
          <w:szCs w:val="28"/>
        </w:rPr>
        <w:t>LucidTalk</w:t>
      </w:r>
      <w:proofErr w:type="spellEnd"/>
      <w:r w:rsidR="61ECF78F">
        <w:rPr>
          <w:sz w:val="28"/>
          <w:szCs w:val="28"/>
        </w:rPr>
        <w:t xml:space="preserve"> commissioned by</w:t>
      </w:r>
      <w:r w:rsidR="6F46F31A">
        <w:rPr>
          <w:sz w:val="28"/>
          <w:szCs w:val="28"/>
        </w:rPr>
        <w:t xml:space="preserve"> </w:t>
      </w:r>
      <w:r w:rsidR="681F3016">
        <w:rPr>
          <w:sz w:val="28"/>
          <w:szCs w:val="28"/>
        </w:rPr>
        <w:t>National Energy Action</w:t>
      </w:r>
      <w:r w:rsidR="54791724">
        <w:rPr>
          <w:sz w:val="28"/>
          <w:szCs w:val="28"/>
        </w:rPr>
        <w:t xml:space="preserve"> found</w:t>
      </w:r>
      <w:r w:rsidR="62236001">
        <w:rPr>
          <w:sz w:val="28"/>
          <w:szCs w:val="28"/>
        </w:rPr>
        <w:t xml:space="preserve"> that 40% of</w:t>
      </w:r>
      <w:r w:rsidR="0B997781">
        <w:rPr>
          <w:sz w:val="28"/>
          <w:szCs w:val="28"/>
        </w:rPr>
        <w:t xml:space="preserve"> </w:t>
      </w:r>
      <w:proofErr w:type="spellStart"/>
      <w:r w:rsidR="0B997781">
        <w:rPr>
          <w:sz w:val="28"/>
          <w:szCs w:val="28"/>
        </w:rPr>
        <w:t>Nothern</w:t>
      </w:r>
      <w:proofErr w:type="spellEnd"/>
      <w:r w:rsidR="0B997781">
        <w:rPr>
          <w:sz w:val="28"/>
          <w:szCs w:val="28"/>
        </w:rPr>
        <w:t xml:space="preserve"> Irish</w:t>
      </w:r>
      <w:r w:rsidR="62236001">
        <w:rPr>
          <w:sz w:val="28"/>
          <w:szCs w:val="28"/>
        </w:rPr>
        <w:t xml:space="preserve"> adults reported they were spending over 10% of their total household income on energy costs.</w:t>
      </w:r>
      <w:r w:rsidR="1536D120" w:rsidRPr="3C85173F">
        <w:rPr>
          <w:rStyle w:val="FootnoteReference"/>
          <w:sz w:val="28"/>
          <w:szCs w:val="28"/>
        </w:rPr>
        <w:footnoteReference w:id="9"/>
      </w:r>
      <w:r w:rsidR="62236001">
        <w:rPr>
          <w:sz w:val="28"/>
          <w:szCs w:val="28"/>
        </w:rPr>
        <w:t xml:space="preserve"> </w:t>
      </w:r>
      <w:r w:rsidR="37DD9A3A">
        <w:rPr>
          <w:sz w:val="28"/>
          <w:szCs w:val="28"/>
        </w:rPr>
        <w:t>A standardised approach to data collection across the devolved nations could help policymakers and wider stakeholders evaluate the success of various schemes across the devolved nations.</w:t>
      </w:r>
    </w:p>
    <w:p w14:paraId="66069F1F" w14:textId="2CD8E58A" w:rsidR="001A5E58" w:rsidRDefault="5B43EAB0" w:rsidP="1A6DFC8B">
      <w:pPr>
        <w:rPr>
          <w:sz w:val="28"/>
          <w:szCs w:val="28"/>
        </w:rPr>
      </w:pPr>
      <w:r>
        <w:rPr>
          <w:sz w:val="28"/>
          <w:szCs w:val="28"/>
        </w:rPr>
        <w:t xml:space="preserve">Across the UK, National Energy Action </w:t>
      </w:r>
      <w:r w:rsidR="7AF21DC1">
        <w:rPr>
          <w:sz w:val="28"/>
          <w:szCs w:val="28"/>
        </w:rPr>
        <w:t xml:space="preserve">(NEA) </w:t>
      </w:r>
      <w:r>
        <w:rPr>
          <w:sz w:val="28"/>
          <w:szCs w:val="28"/>
        </w:rPr>
        <w:t>estimates that the crisis caused fuel poverty to rise by 36% from 4.5 million households in October 2021 to 6.1 million in January 2025.</w:t>
      </w:r>
      <w:r w:rsidR="00F84F72">
        <w:rPr>
          <w:sz w:val="28"/>
          <w:szCs w:val="28"/>
          <w:vertAlign w:val="superscript"/>
        </w:rPr>
        <w:footnoteReference w:id="10"/>
      </w:r>
      <w:r>
        <w:rPr>
          <w:sz w:val="28"/>
          <w:szCs w:val="28"/>
        </w:rPr>
        <w:t xml:space="preserve"> This estimate uses a version of the 10% definition, where a household spends over 10% of its income on energy to provide a satisfactory heating regime. </w:t>
      </w:r>
      <w:r w:rsidR="40189082">
        <w:rPr>
          <w:sz w:val="28"/>
          <w:szCs w:val="28"/>
        </w:rPr>
        <w:t xml:space="preserve">NEA defines </w:t>
      </w:r>
      <w:r w:rsidR="2FFC5A7D">
        <w:rPr>
          <w:sz w:val="28"/>
          <w:szCs w:val="28"/>
        </w:rPr>
        <w:t>a</w:t>
      </w:r>
      <w:r w:rsidR="40189082">
        <w:rPr>
          <w:sz w:val="28"/>
          <w:szCs w:val="28"/>
        </w:rPr>
        <w:t xml:space="preserve"> </w:t>
      </w:r>
      <w:r w:rsidR="1F803F14">
        <w:rPr>
          <w:sz w:val="28"/>
          <w:szCs w:val="28"/>
        </w:rPr>
        <w:t xml:space="preserve">satisfactory heating regime </w:t>
      </w:r>
      <w:r w:rsidR="40189082">
        <w:rPr>
          <w:sz w:val="28"/>
          <w:szCs w:val="28"/>
        </w:rPr>
        <w:t xml:space="preserve">as </w:t>
      </w:r>
      <w:r w:rsidR="40189082" w:rsidRPr="1A6DFC8B">
        <w:rPr>
          <w:sz w:val="28"/>
          <w:szCs w:val="28"/>
        </w:rPr>
        <w:t>the level of heating needed to maintain a comfortable and healthy indoor temperature, typically within a range deemed acceptable for human health and well-being.</w:t>
      </w:r>
    </w:p>
    <w:p w14:paraId="69537A81" w14:textId="3D13ABA5" w:rsidR="001A5E58" w:rsidRDefault="5B43EAB0" w:rsidP="3C85173F">
      <w:pPr>
        <w:rPr>
          <w:color w:val="3F598A"/>
          <w:sz w:val="32"/>
          <w:szCs w:val="32"/>
        </w:rPr>
      </w:pPr>
      <w:r>
        <w:rPr>
          <w:sz w:val="28"/>
          <w:szCs w:val="28"/>
        </w:rPr>
        <w:t xml:space="preserve">As a result, the Committee on Fuel Poverty calls for the LILEE metric to be reviewed as it no longer captures the full range of households facing unaffordable </w:t>
      </w:r>
      <w:r>
        <w:rPr>
          <w:sz w:val="28"/>
          <w:szCs w:val="28"/>
        </w:rPr>
        <w:lastRenderedPageBreak/>
        <w:t>bills.</w:t>
      </w:r>
      <w:r w:rsidR="00F84F72">
        <w:rPr>
          <w:sz w:val="28"/>
          <w:szCs w:val="28"/>
          <w:vertAlign w:val="superscript"/>
        </w:rPr>
        <w:footnoteReference w:id="11"/>
      </w:r>
      <w:r>
        <w:rPr>
          <w:sz w:val="28"/>
          <w:szCs w:val="28"/>
        </w:rPr>
        <w:t xml:space="preserve"> In light of this, and to maintain consistency across the devolved nations, Public First’s analysis in this report uses the following definition when discussing the distributional impacts of policy options on fuel poverty: households spending more than 10% of their income after housing costs on energy bills.</w:t>
      </w:r>
    </w:p>
    <w:p w14:paraId="1009F177" w14:textId="3FFA281F" w:rsidR="001A5E58" w:rsidRDefault="497E5335" w:rsidP="3C85173F">
      <w:pPr>
        <w:spacing w:line="259" w:lineRule="auto"/>
        <w:rPr>
          <w:sz w:val="28"/>
          <w:szCs w:val="28"/>
        </w:rPr>
      </w:pPr>
      <w:r w:rsidRPr="1A6DFC8B">
        <w:rPr>
          <w:sz w:val="28"/>
          <w:szCs w:val="28"/>
        </w:rPr>
        <w:t>Analysis by Public First shows that LILEE greatly underestimates the fuel poverty rate in the poorest decile (1), indicating that 39% of these households are fuel poor compared to 5</w:t>
      </w:r>
      <w:r w:rsidR="1454019C" w:rsidRPr="1A6DFC8B">
        <w:rPr>
          <w:sz w:val="28"/>
          <w:szCs w:val="28"/>
        </w:rPr>
        <w:t>7</w:t>
      </w:r>
      <w:r w:rsidRPr="1A6DFC8B">
        <w:rPr>
          <w:sz w:val="28"/>
          <w:szCs w:val="28"/>
        </w:rPr>
        <w:t xml:space="preserve">% under the 10% affordability measure definition. </w:t>
      </w:r>
    </w:p>
    <w:p w14:paraId="53F32734" w14:textId="4A76D093" w:rsidR="001A5E58" w:rsidRDefault="456D55AE" w:rsidP="3C85173F">
      <w:pPr>
        <w:spacing w:line="259" w:lineRule="auto"/>
        <w:rPr>
          <w:sz w:val="28"/>
          <w:szCs w:val="28"/>
        </w:rPr>
      </w:pPr>
      <w:r w:rsidRPr="3C85173F">
        <w:rPr>
          <w:sz w:val="28"/>
          <w:szCs w:val="28"/>
        </w:rPr>
        <w:t>The analysis in this report is focused on Great Britian</w:t>
      </w:r>
      <w:r w:rsidR="0B76F084" w:rsidRPr="3C85173F">
        <w:rPr>
          <w:sz w:val="28"/>
          <w:szCs w:val="28"/>
        </w:rPr>
        <w:t xml:space="preserve">, although </w:t>
      </w:r>
      <w:r w:rsidR="00790237">
        <w:rPr>
          <w:sz w:val="28"/>
          <w:szCs w:val="28"/>
        </w:rPr>
        <w:t>policymakers should consider how targeted bill</w:t>
      </w:r>
      <w:r w:rsidR="0B76F084" w:rsidRPr="3C85173F">
        <w:rPr>
          <w:sz w:val="28"/>
          <w:szCs w:val="28"/>
        </w:rPr>
        <w:t xml:space="preserve"> support should be devolved to Northern Ireland through Barnett </w:t>
      </w:r>
      <w:proofErr w:type="spellStart"/>
      <w:r w:rsidR="0B76F084" w:rsidRPr="3C85173F">
        <w:rPr>
          <w:sz w:val="28"/>
          <w:szCs w:val="28"/>
        </w:rPr>
        <w:t>consequentials</w:t>
      </w:r>
      <w:proofErr w:type="spellEnd"/>
      <w:r w:rsidR="0B76F084" w:rsidRPr="3C85173F">
        <w:rPr>
          <w:sz w:val="28"/>
          <w:szCs w:val="28"/>
        </w:rPr>
        <w:t>.</w:t>
      </w:r>
    </w:p>
    <w:p w14:paraId="6F50F0DE" w14:textId="676A5EF5" w:rsidR="001A5E58" w:rsidRDefault="001A5E58" w:rsidP="3C85173F">
      <w:pPr>
        <w:rPr>
          <w:sz w:val="28"/>
          <w:szCs w:val="28"/>
        </w:rPr>
      </w:pPr>
    </w:p>
    <w:p w14:paraId="16ADB117" w14:textId="01DBF664" w:rsidR="001A5E58" w:rsidRDefault="497E5335" w:rsidP="1A6DFC8B">
      <w:pPr>
        <w:spacing w:before="200" w:after="120" w:line="348" w:lineRule="auto"/>
        <w:rPr>
          <w:i/>
          <w:iCs/>
          <w:sz w:val="28"/>
          <w:szCs w:val="28"/>
        </w:rPr>
      </w:pPr>
      <w:r w:rsidRPr="1A6DFC8B">
        <w:rPr>
          <w:b/>
          <w:bCs/>
          <w:sz w:val="28"/>
          <w:szCs w:val="28"/>
        </w:rPr>
        <w:t xml:space="preserve">Figure 2: LILEE underestimates the rates of fuel poverty among the lowest incomes compared to the 10% affordability measure. </w:t>
      </w:r>
      <w:r w:rsidRPr="00344BBB">
        <w:rPr>
          <w:sz w:val="28"/>
          <w:szCs w:val="28"/>
        </w:rPr>
        <w:t>Percentage of households in fuel poverty by income decile.</w:t>
      </w:r>
      <w:r w:rsidRPr="1A6DFC8B">
        <w:rPr>
          <w:i/>
          <w:iCs/>
          <w:sz w:val="28"/>
          <w:szCs w:val="28"/>
        </w:rPr>
        <w:t xml:space="preserve"> </w:t>
      </w:r>
    </w:p>
    <w:p w14:paraId="4275C1D5" w14:textId="48BE9133" w:rsidR="001A5E58" w:rsidRDefault="00CD1F51" w:rsidP="3C85173F">
      <w:pPr>
        <w:spacing w:before="200" w:after="120" w:line="348" w:lineRule="auto"/>
      </w:pPr>
      <w:r>
        <w:rPr>
          <w:noProof/>
        </w:rPr>
        <w:drawing>
          <wp:inline distT="0" distB="0" distL="0" distR="0" wp14:anchorId="345AC8B1" wp14:editId="5D373237">
            <wp:extent cx="6479540" cy="4015105"/>
            <wp:effectExtent l="0" t="0" r="0" b="0"/>
            <wp:docPr id="1490533566" name="Picture 2" descr="Bar chart comparing two measures of fuel poverty by income decile in England. Under the LILEE measure, 39% of the lowest income decile (decile 1) are fuel poor, while under the 10% affordability definition, 57% are fuel poor. Across all deciles, the 10% measure shows consistently higher rates than LILEE, highlighting that LILEE significantly underestimates fuel poverty among the poorest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33566" name="Picture 2" descr="Bar chart comparing two measures of fuel poverty by income decile in England. Under the LILEE measure, 39% of the lowest income decile (decile 1) are fuel poor, while under the 10% affordability definition, 57% are fuel poor. Across all deciles, the 10% measure shows consistently higher rates than LILEE, highlighting that LILEE significantly underestimates fuel poverty among the poorest househol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p>
    <w:p w14:paraId="00B41EE5" w14:textId="467D6D34" w:rsidR="001A5E58" w:rsidRPr="00344BBB" w:rsidRDefault="714ED1C6" w:rsidP="1A6DFC8B">
      <w:pPr>
        <w:spacing w:before="200" w:after="120" w:line="348" w:lineRule="auto"/>
        <w:rPr>
          <w:sz w:val="24"/>
          <w:szCs w:val="24"/>
        </w:rPr>
      </w:pPr>
      <w:r w:rsidRPr="00344BBB">
        <w:rPr>
          <w:sz w:val="24"/>
          <w:szCs w:val="24"/>
        </w:rPr>
        <w:lastRenderedPageBreak/>
        <w:t xml:space="preserve">Source: </w:t>
      </w:r>
      <w:r w:rsidR="655252C8" w:rsidRPr="00344BBB">
        <w:rPr>
          <w:sz w:val="24"/>
          <w:szCs w:val="24"/>
        </w:rPr>
        <w:t>Fuel poverty statistics 2025</w:t>
      </w:r>
      <w:r w:rsidR="2F0DEB50" w:rsidRPr="00344BBB">
        <w:rPr>
          <w:sz w:val="24"/>
          <w:szCs w:val="24"/>
        </w:rPr>
        <w:t xml:space="preserve"> (2024 data)</w:t>
      </w:r>
      <w:r w:rsidR="655252C8" w:rsidRPr="00344BBB">
        <w:rPr>
          <w:sz w:val="24"/>
          <w:szCs w:val="24"/>
        </w:rPr>
        <w:t xml:space="preserve">, DESNZ and </w:t>
      </w:r>
      <w:r w:rsidR="1BAA11C7" w:rsidRPr="00344BBB">
        <w:rPr>
          <w:sz w:val="24"/>
          <w:szCs w:val="24"/>
        </w:rPr>
        <w:t>Public First analysis of Living Cost and Food Survey (2022/23) uprated to 2025</w:t>
      </w:r>
    </w:p>
    <w:p w14:paraId="772AD154" w14:textId="71C00F8D" w:rsidR="001A5E58" w:rsidRPr="00344BBB" w:rsidRDefault="714ED1C6" w:rsidP="1A6DFC8B">
      <w:pPr>
        <w:spacing w:before="200" w:after="120" w:line="348" w:lineRule="auto"/>
        <w:rPr>
          <w:sz w:val="24"/>
          <w:szCs w:val="24"/>
        </w:rPr>
      </w:pPr>
      <w:r w:rsidRPr="00344BBB">
        <w:rPr>
          <w:sz w:val="24"/>
          <w:szCs w:val="24"/>
        </w:rPr>
        <w:t>Note: Deciles 3 and 4 are</w:t>
      </w:r>
      <w:r w:rsidR="414E67E6" w:rsidRPr="00344BBB">
        <w:rPr>
          <w:sz w:val="24"/>
          <w:szCs w:val="24"/>
        </w:rPr>
        <w:t xml:space="preserve"> presented as</w:t>
      </w:r>
      <w:r w:rsidRPr="00344BBB">
        <w:rPr>
          <w:sz w:val="24"/>
          <w:szCs w:val="24"/>
        </w:rPr>
        <w:t xml:space="preserve"> grouped </w:t>
      </w:r>
      <w:r w:rsidR="5E6605CC" w:rsidRPr="00344BBB">
        <w:rPr>
          <w:sz w:val="24"/>
          <w:szCs w:val="24"/>
        </w:rPr>
        <w:t>in DESNZ’s fuel poverty statistics.</w:t>
      </w:r>
      <w:bookmarkStart w:id="8" w:name="_9lieirxn60lt"/>
      <w:bookmarkEnd w:id="8"/>
    </w:p>
    <w:p w14:paraId="5F2A350F" w14:textId="777BE9B9" w:rsidR="001A5E58" w:rsidRPr="00FA72C7" w:rsidRDefault="3299063D" w:rsidP="1A6DFC8B">
      <w:pPr>
        <w:spacing w:before="200" w:after="120" w:line="348" w:lineRule="auto"/>
        <w:rPr>
          <w:color w:val="3275C8"/>
          <w:sz w:val="32"/>
          <w:szCs w:val="32"/>
        </w:rPr>
      </w:pPr>
      <w:r w:rsidRPr="00FA72C7">
        <w:rPr>
          <w:color w:val="3275C8"/>
          <w:sz w:val="32"/>
          <w:szCs w:val="32"/>
        </w:rPr>
        <w:t xml:space="preserve">Income is a key predictor of energy affordability. </w:t>
      </w:r>
    </w:p>
    <w:p w14:paraId="71426945" w14:textId="1E359D7E" w:rsidR="001A5E58" w:rsidRDefault="497E5335" w:rsidP="1A6DFC8B">
      <w:pPr>
        <w:spacing w:line="259" w:lineRule="auto"/>
        <w:rPr>
          <w:sz w:val="28"/>
          <w:szCs w:val="28"/>
        </w:rPr>
      </w:pPr>
      <w:r w:rsidRPr="1A6DFC8B">
        <w:rPr>
          <w:sz w:val="28"/>
          <w:szCs w:val="28"/>
        </w:rPr>
        <w:t xml:space="preserve">Public First analysis finds that </w:t>
      </w:r>
      <w:r w:rsidR="45FEFE62" w:rsidRPr="1A6DFC8B">
        <w:rPr>
          <w:sz w:val="28"/>
          <w:szCs w:val="28"/>
        </w:rPr>
        <w:t>nearly three quarters</w:t>
      </w:r>
      <w:r w:rsidRPr="1A6DFC8B">
        <w:rPr>
          <w:sz w:val="28"/>
          <w:szCs w:val="28"/>
        </w:rPr>
        <w:t xml:space="preserve"> (</w:t>
      </w:r>
      <w:r w:rsidR="7349EC2F" w:rsidRPr="1A6DFC8B">
        <w:rPr>
          <w:sz w:val="28"/>
          <w:szCs w:val="28"/>
        </w:rPr>
        <w:t>72</w:t>
      </w:r>
      <w:r w:rsidRPr="1A6DFC8B">
        <w:rPr>
          <w:sz w:val="28"/>
          <w:szCs w:val="28"/>
        </w:rPr>
        <w:t xml:space="preserve">%) of households spending more than 10% of their income after housing costs on energy bills are also below the poverty line, as shown in Figure </w:t>
      </w:r>
      <w:r w:rsidR="1EC82B54" w:rsidRPr="1A6DFC8B">
        <w:rPr>
          <w:sz w:val="28"/>
          <w:szCs w:val="28"/>
        </w:rPr>
        <w:t>8</w:t>
      </w:r>
      <w:r w:rsidRPr="1A6DFC8B">
        <w:rPr>
          <w:sz w:val="28"/>
          <w:szCs w:val="28"/>
        </w:rPr>
        <w:t>. We also find that ‘deep fuel poverty’ (i.e. households spending more than 20% of their income after housing costs on energy bills) is almost entirely a reflection of poverty in a broader sense</w:t>
      </w:r>
      <w:r w:rsidR="736E6CCA" w:rsidRPr="1A6DFC8B">
        <w:rPr>
          <w:sz w:val="28"/>
          <w:szCs w:val="28"/>
        </w:rPr>
        <w:t>, as shown in Figure 3</w:t>
      </w:r>
      <w:r w:rsidRPr="1A6DFC8B">
        <w:rPr>
          <w:sz w:val="28"/>
          <w:szCs w:val="28"/>
        </w:rPr>
        <w:t>. Around 9</w:t>
      </w:r>
      <w:r w:rsidR="094DDFA1" w:rsidRPr="1A6DFC8B">
        <w:rPr>
          <w:sz w:val="28"/>
          <w:szCs w:val="28"/>
        </w:rPr>
        <w:t>9</w:t>
      </w:r>
      <w:r w:rsidRPr="1A6DFC8B">
        <w:rPr>
          <w:sz w:val="28"/>
          <w:szCs w:val="28"/>
        </w:rPr>
        <w:t>% of these households are also below the poverty line. Given that the most extreme cases of fuel poverty are, in practice, a reflection of wider poverty, income should be central to the design and targeting of any targeted bill support, ensuring support reaches those facing the greatest strain.</w:t>
      </w:r>
    </w:p>
    <w:p w14:paraId="0F17AD66" w14:textId="77777777" w:rsidR="00344BBB" w:rsidRDefault="00344BBB">
      <w:pPr>
        <w:rPr>
          <w:b/>
          <w:bCs/>
          <w:sz w:val="28"/>
          <w:szCs w:val="28"/>
        </w:rPr>
      </w:pPr>
      <w:r>
        <w:rPr>
          <w:b/>
          <w:bCs/>
          <w:sz w:val="28"/>
          <w:szCs w:val="28"/>
        </w:rPr>
        <w:br w:type="page"/>
      </w:r>
    </w:p>
    <w:p w14:paraId="1BCD80B1" w14:textId="30A637DC" w:rsidR="001A5E58" w:rsidRDefault="497E5335">
      <w:pPr>
        <w:spacing w:before="200" w:after="120" w:line="348" w:lineRule="auto"/>
        <w:rPr>
          <w:sz w:val="28"/>
          <w:szCs w:val="28"/>
          <w:highlight w:val="yellow"/>
        </w:rPr>
      </w:pPr>
      <w:r w:rsidRPr="1A6DFC8B">
        <w:rPr>
          <w:b/>
          <w:bCs/>
          <w:sz w:val="28"/>
          <w:szCs w:val="28"/>
        </w:rPr>
        <w:lastRenderedPageBreak/>
        <w:t xml:space="preserve">Figure 3: Income is a very strong predictor of deep fuel poverty (&gt;20% of income spent on energy). </w:t>
      </w:r>
      <w:r w:rsidRPr="00344BBB">
        <w:rPr>
          <w:sz w:val="26"/>
          <w:szCs w:val="26"/>
        </w:rPr>
        <w:t>Euler chart illustrating the relationship between fuel poverty and poverty, disability, age, and WHD benefits</w:t>
      </w:r>
      <w:r w:rsidR="1A8089DF" w:rsidRPr="00344BBB">
        <w:rPr>
          <w:sz w:val="26"/>
          <w:szCs w:val="26"/>
        </w:rPr>
        <w:t>, GB</w:t>
      </w:r>
      <w:r w:rsidRPr="00344BBB">
        <w:rPr>
          <w:sz w:val="26"/>
          <w:szCs w:val="26"/>
        </w:rPr>
        <w:t>.</w:t>
      </w:r>
    </w:p>
    <w:p w14:paraId="35CECD42" w14:textId="54CE8EF9" w:rsidR="001A5E58" w:rsidRDefault="1777D94A">
      <w:r>
        <w:rPr>
          <w:noProof/>
        </w:rPr>
        <w:drawing>
          <wp:inline distT="0" distB="0" distL="0" distR="0" wp14:anchorId="77163E1E" wp14:editId="17ADC29F">
            <wp:extent cx="6486525" cy="4381500"/>
            <wp:effectExtent l="0" t="0" r="0" b="0"/>
            <wp:docPr id="167593713" name="drawing" descr="An Euler diagram showing the overlap between households in deep fuel poverty, poverty, disability, older age, and eligibility for the Warm Home Discount. Nearly all households in deep fuel poverty (spending over 20% of income on energy) are also below the poverty line — 99% overlap. Many are also disabled or older (over 65). The figure demonstrates that extreme fuel poverty is overwhelmingly linked to poverty, with multiple vulnerable customers inters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3713" name="drawing" descr="An Euler diagram showing the overlap between households in deep fuel poverty, poverty, disability, older age, and eligibility for the Warm Home Discount. Nearly all households in deep fuel poverty (spending over 20% of income on energy) are also below the poverty line — 99% overlap. Many are also disabled or older (over 65). The figure demonstrates that extreme fuel poverty is overwhelmingly linked to poverty, with multiple vulnerable customers intersecting."/>
                    <pic:cNvPicPr/>
                  </pic:nvPicPr>
                  <pic:blipFill>
                    <a:blip r:embed="rId21">
                      <a:extLst>
                        <a:ext uri="{28A0092B-C50C-407E-A947-70E740481C1C}">
                          <a14:useLocalDpi xmlns:a14="http://schemas.microsoft.com/office/drawing/2010/main" val="0"/>
                        </a:ext>
                      </a:extLst>
                    </a:blip>
                    <a:stretch>
                      <a:fillRect/>
                    </a:stretch>
                  </pic:blipFill>
                  <pic:spPr>
                    <a:xfrm>
                      <a:off x="0" y="0"/>
                      <a:ext cx="6486525" cy="4381500"/>
                    </a:xfrm>
                    <a:prstGeom prst="rect">
                      <a:avLst/>
                    </a:prstGeom>
                  </pic:spPr>
                </pic:pic>
              </a:graphicData>
            </a:graphic>
          </wp:inline>
        </w:drawing>
      </w:r>
    </w:p>
    <w:p w14:paraId="59A53757" w14:textId="77777777" w:rsidR="001A5E58" w:rsidRPr="00344BBB" w:rsidRDefault="00F84F72">
      <w:pPr>
        <w:spacing w:before="200" w:after="120" w:line="348" w:lineRule="auto"/>
        <w:rPr>
          <w:iCs/>
          <w:sz w:val="24"/>
          <w:szCs w:val="24"/>
        </w:rPr>
      </w:pPr>
      <w:r w:rsidRPr="00344BBB">
        <w:rPr>
          <w:iCs/>
          <w:sz w:val="24"/>
          <w:szCs w:val="24"/>
        </w:rPr>
        <w:t xml:space="preserve">Source: Public First analysis of Living Cost and Food Survey (2022/23) </w:t>
      </w:r>
    </w:p>
    <w:p w14:paraId="3248E0B2" w14:textId="77777777" w:rsidR="001A5E58" w:rsidRPr="00344BBB" w:rsidRDefault="367B7873">
      <w:pPr>
        <w:spacing w:before="200" w:after="120" w:line="348" w:lineRule="auto"/>
        <w:rPr>
          <w:iCs/>
          <w:sz w:val="24"/>
          <w:szCs w:val="24"/>
        </w:rPr>
      </w:pPr>
      <w:r w:rsidRPr="00344BBB">
        <w:rPr>
          <w:iCs/>
          <w:sz w:val="24"/>
          <w:szCs w:val="24"/>
        </w:rPr>
        <w:t>Note: Poverty is defined as below 60% of the median equivalised household income after housing costs.</w:t>
      </w:r>
    </w:p>
    <w:p w14:paraId="3A93C71A" w14:textId="77777777" w:rsidR="001A5E58" w:rsidRPr="00362D16" w:rsidRDefault="5A4A5C02" w:rsidP="00362D16">
      <w:pPr>
        <w:pStyle w:val="Heading3"/>
        <w:rPr>
          <w:color w:val="3275C8"/>
          <w:sz w:val="32"/>
          <w:szCs w:val="32"/>
        </w:rPr>
      </w:pPr>
      <w:bookmarkStart w:id="9" w:name="_nsmn0qx6rmp9"/>
      <w:bookmarkEnd w:id="9"/>
      <w:r w:rsidRPr="00362D16">
        <w:rPr>
          <w:color w:val="3275C8"/>
          <w:sz w:val="32"/>
          <w:szCs w:val="32"/>
        </w:rPr>
        <w:t>Households with higher energy needs also face affordability challenges.</w:t>
      </w:r>
    </w:p>
    <w:p w14:paraId="524A09E9" w14:textId="37692FA1" w:rsidR="001A5E58" w:rsidRDefault="1536D120">
      <w:pPr>
        <w:rPr>
          <w:sz w:val="28"/>
          <w:szCs w:val="28"/>
        </w:rPr>
      </w:pPr>
      <w:r w:rsidRPr="7E2D8D79">
        <w:rPr>
          <w:sz w:val="28"/>
          <w:szCs w:val="28"/>
        </w:rPr>
        <w:t xml:space="preserve">A household’s ability to afford energy is not just about income, it is also shaped by how much energy they need to use. Households with high energy needs typically require greater consumption to maintain a basic standard of living, due to a range of structural factors. These needs are often driven by household or property characteristics including disability, the age or size of the household, and the energy efficiency of the home. While government and industry schemes exist to support property upgrades, some factors are difficult or impossible to change - for instance, if a member of the household requires electrical medical equipment or if their circumstances require them to be at home more often. These households are </w:t>
      </w:r>
      <w:r w:rsidRPr="7E2D8D79">
        <w:rPr>
          <w:sz w:val="28"/>
          <w:szCs w:val="28"/>
        </w:rPr>
        <w:lastRenderedPageBreak/>
        <w:t>unlikely to be able to reduce their usage meaningfully</w:t>
      </w:r>
      <w:r w:rsidR="00880061">
        <w:rPr>
          <w:sz w:val="28"/>
          <w:szCs w:val="28"/>
        </w:rPr>
        <w:t xml:space="preserve"> and safely</w:t>
      </w:r>
      <w:r w:rsidRPr="7E2D8D79">
        <w:rPr>
          <w:sz w:val="28"/>
          <w:szCs w:val="28"/>
        </w:rPr>
        <w:t>, and would therefore require more targeted support to keep energy costs affordable.</w:t>
      </w:r>
    </w:p>
    <w:p w14:paraId="0EA23587" w14:textId="489D1532" w:rsidR="00977B33" w:rsidRDefault="497E5335" w:rsidP="1A6DFC8B">
      <w:pPr>
        <w:rPr>
          <w:sz w:val="28"/>
          <w:szCs w:val="28"/>
        </w:rPr>
      </w:pPr>
      <w:r w:rsidRPr="793F983A">
        <w:rPr>
          <w:sz w:val="28"/>
          <w:szCs w:val="28"/>
        </w:rPr>
        <w:t>Public First’s analysis finds that fuel poverty rates are twice as high among disabled households (</w:t>
      </w:r>
      <w:r w:rsidR="12C73074" w:rsidRPr="793F983A">
        <w:rPr>
          <w:sz w:val="28"/>
          <w:szCs w:val="28"/>
        </w:rPr>
        <w:t>18-20</w:t>
      </w:r>
      <w:r w:rsidRPr="793F983A">
        <w:rPr>
          <w:sz w:val="28"/>
          <w:szCs w:val="28"/>
        </w:rPr>
        <w:t>%) than non-disabled households (</w:t>
      </w:r>
      <w:r w:rsidR="7B93F1C3" w:rsidRPr="793F983A">
        <w:rPr>
          <w:sz w:val="28"/>
          <w:szCs w:val="28"/>
        </w:rPr>
        <w:t>9</w:t>
      </w:r>
      <w:r w:rsidRPr="793F983A">
        <w:rPr>
          <w:sz w:val="28"/>
          <w:szCs w:val="28"/>
        </w:rPr>
        <w:t xml:space="preserve">%). In real terms, Public First estimates that there are around </w:t>
      </w:r>
      <w:r w:rsidR="55EBA03B" w:rsidRPr="793F983A">
        <w:rPr>
          <w:sz w:val="28"/>
          <w:szCs w:val="28"/>
        </w:rPr>
        <w:t>1.5</w:t>
      </w:r>
      <w:r w:rsidRPr="793F983A">
        <w:rPr>
          <w:sz w:val="28"/>
          <w:szCs w:val="28"/>
        </w:rPr>
        <w:t xml:space="preserve"> million non-disabled fuel poor households, compared to </w:t>
      </w:r>
      <w:r w:rsidR="7834EF29" w:rsidRPr="793F983A">
        <w:rPr>
          <w:sz w:val="28"/>
          <w:szCs w:val="28"/>
        </w:rPr>
        <w:t>2.2</w:t>
      </w:r>
      <w:r w:rsidRPr="793F983A">
        <w:rPr>
          <w:sz w:val="28"/>
          <w:szCs w:val="28"/>
        </w:rPr>
        <w:t xml:space="preserve"> million fuel poor disabled households, as covered by the Equalit</w:t>
      </w:r>
      <w:r w:rsidR="77367126" w:rsidRPr="793F983A">
        <w:rPr>
          <w:sz w:val="28"/>
          <w:szCs w:val="28"/>
        </w:rPr>
        <w:t>y</w:t>
      </w:r>
      <w:r w:rsidRPr="793F983A">
        <w:rPr>
          <w:sz w:val="28"/>
          <w:szCs w:val="28"/>
        </w:rPr>
        <w:t xml:space="preserve"> Act 2010. Within this latter group, around </w:t>
      </w:r>
      <w:r w:rsidR="3D745064" w:rsidRPr="793F983A">
        <w:rPr>
          <w:sz w:val="28"/>
          <w:szCs w:val="28"/>
        </w:rPr>
        <w:t>0.8</w:t>
      </w:r>
      <w:r w:rsidRPr="793F983A">
        <w:rPr>
          <w:sz w:val="28"/>
          <w:szCs w:val="28"/>
        </w:rPr>
        <w:t xml:space="preserve"> million households are claiming disability benefits of ESA, PIP, DLA, Carers Allowance or Attendance Allowance</w:t>
      </w:r>
      <w:r w:rsidR="043DA37B" w:rsidRPr="793F983A">
        <w:rPr>
          <w:sz w:val="28"/>
          <w:szCs w:val="28"/>
        </w:rPr>
        <w:t xml:space="preserve"> – this means less than half of the disabled households in fuel poverty are currently receiving disability benefits.</w:t>
      </w:r>
    </w:p>
    <w:p w14:paraId="23041196" w14:textId="55FC049D" w:rsidR="00977B33" w:rsidRDefault="731CE117">
      <w:pPr>
        <w:rPr>
          <w:sz w:val="28"/>
          <w:szCs w:val="28"/>
        </w:rPr>
      </w:pPr>
      <w:r>
        <w:rPr>
          <w:sz w:val="28"/>
          <w:szCs w:val="28"/>
        </w:rPr>
        <w:t>Higher rates of fuel poverty among disabled households are</w:t>
      </w:r>
      <w:r w:rsidR="7D29AD2A">
        <w:rPr>
          <w:sz w:val="28"/>
          <w:szCs w:val="28"/>
        </w:rPr>
        <w:t xml:space="preserve"> driven by multiple factors that increase energy needs, such as limited mobility</w:t>
      </w:r>
      <w:r w:rsidR="5855E5B7">
        <w:rPr>
          <w:sz w:val="28"/>
          <w:szCs w:val="28"/>
        </w:rPr>
        <w:t>,</w:t>
      </w:r>
      <w:r w:rsidR="7D29AD2A">
        <w:rPr>
          <w:sz w:val="28"/>
          <w:szCs w:val="28"/>
        </w:rPr>
        <w:t xml:space="preserve"> which means members are more likely to stay home, relying on medical equipment, and </w:t>
      </w:r>
      <w:r w:rsidR="5855E5B7">
        <w:rPr>
          <w:sz w:val="28"/>
          <w:szCs w:val="28"/>
        </w:rPr>
        <w:t>requiring warmer temperatures to prevent worse health outcomes. Disabled households are also more likely to have lower incomes, compounding aspects of fuel poverty that are driven by financial vulnerabilities.</w:t>
      </w:r>
      <w:r w:rsidR="007E1F66">
        <w:rPr>
          <w:sz w:val="28"/>
          <w:szCs w:val="28"/>
          <w:vertAlign w:val="superscript"/>
        </w:rPr>
        <w:footnoteReference w:id="12"/>
      </w:r>
      <w:r w:rsidR="5855E5B7">
        <w:rPr>
          <w:sz w:val="28"/>
          <w:szCs w:val="28"/>
        </w:rPr>
        <w:t xml:space="preserve"> </w:t>
      </w:r>
    </w:p>
    <w:p w14:paraId="11DF34CC" w14:textId="77777777" w:rsidR="00790237" w:rsidRDefault="00790237" w:rsidP="3C85173F">
      <w:pPr>
        <w:spacing w:before="200" w:after="120" w:line="348" w:lineRule="auto"/>
        <w:rPr>
          <w:sz w:val="28"/>
          <w:szCs w:val="28"/>
        </w:rPr>
      </w:pPr>
    </w:p>
    <w:p w14:paraId="1542674D" w14:textId="601C49E9" w:rsidR="616FDFFB" w:rsidRDefault="616FDFFB">
      <w:r>
        <w:br w:type="page"/>
      </w:r>
    </w:p>
    <w:p w14:paraId="6AF677EB" w14:textId="3D810FF1" w:rsidR="3C85173F" w:rsidRDefault="497E5335" w:rsidP="1A6DFC8B">
      <w:pPr>
        <w:spacing w:before="200" w:after="120" w:line="348" w:lineRule="auto"/>
        <w:rPr>
          <w:i/>
          <w:iCs/>
          <w:sz w:val="28"/>
          <w:szCs w:val="28"/>
        </w:rPr>
      </w:pPr>
      <w:r w:rsidRPr="1A6DFC8B">
        <w:rPr>
          <w:b/>
          <w:bCs/>
          <w:sz w:val="28"/>
          <w:szCs w:val="28"/>
        </w:rPr>
        <w:lastRenderedPageBreak/>
        <w:t>Figure 4: Fuel poverty is up to twice as common in disabled households  than non-disabled households.</w:t>
      </w:r>
      <w:r w:rsidRPr="00344BBB">
        <w:rPr>
          <w:b/>
          <w:bCs/>
          <w:sz w:val="28"/>
          <w:szCs w:val="28"/>
        </w:rPr>
        <w:t xml:space="preserve"> </w:t>
      </w:r>
      <w:r w:rsidRPr="00344BBB">
        <w:rPr>
          <w:sz w:val="28"/>
          <w:szCs w:val="28"/>
        </w:rPr>
        <w:t>Percentage of households in fuel poverty (left axis) and millions of households in fuel poverty (right axis), &gt;10% of AHC income spent on energy definition, by disability status</w:t>
      </w:r>
      <w:r w:rsidR="07C73F5C" w:rsidRPr="00344BBB">
        <w:rPr>
          <w:sz w:val="28"/>
          <w:szCs w:val="28"/>
        </w:rPr>
        <w:t>, GB</w:t>
      </w:r>
      <w:r w:rsidRPr="00344BBB">
        <w:rPr>
          <w:sz w:val="28"/>
          <w:szCs w:val="28"/>
        </w:rPr>
        <w:t>.</w:t>
      </w:r>
    </w:p>
    <w:p w14:paraId="18E40557" w14:textId="6EB23C87" w:rsidR="4ABF1A6E" w:rsidRDefault="000B3786">
      <w:r>
        <w:rPr>
          <w:noProof/>
        </w:rPr>
        <w:drawing>
          <wp:inline distT="0" distB="0" distL="0" distR="0" wp14:anchorId="16464B03" wp14:editId="2CD95E5A">
            <wp:extent cx="6479540" cy="3168650"/>
            <wp:effectExtent l="0" t="0" r="0" b="0"/>
            <wp:docPr id="621026392" name="Picture 3" descr="Dual-axis bar and line chart. Left axis shows percentage in fuel poverty: around 18–20% of disabled households are fuel poor, compared to 9% of non-disabled households. Right axis shows absolute numbers: 2.2 million disabled households in fuel poverty versus 1.5 million non-disabled households. The chart highlights the significant disparity, with disabled households almost twice as likely to experience fuel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26392" name="Picture 3" descr="Dual-axis bar and line chart. Left axis shows percentage in fuel poverty: around 18–20% of disabled households are fuel poor, compared to 9% of non-disabled households. Right axis shows absolute numbers: 2.2 million disabled households in fuel poverty versus 1.5 million non-disabled households. The chart highlights the significant disparity, with disabled households almost twice as likely to experience fuel pover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3168650"/>
                    </a:xfrm>
                    <a:prstGeom prst="rect">
                      <a:avLst/>
                    </a:prstGeom>
                    <a:noFill/>
                    <a:ln>
                      <a:noFill/>
                    </a:ln>
                  </pic:spPr>
                </pic:pic>
              </a:graphicData>
            </a:graphic>
          </wp:inline>
        </w:drawing>
      </w:r>
    </w:p>
    <w:p w14:paraId="591A2AE0" w14:textId="2D0DE2BB" w:rsidR="3C85173F" w:rsidRPr="00344BBB" w:rsidRDefault="5B43EAB0" w:rsidP="1A6DFC8B">
      <w:pPr>
        <w:spacing w:before="200" w:after="120"/>
        <w:rPr>
          <w:sz w:val="24"/>
          <w:szCs w:val="24"/>
        </w:rPr>
      </w:pPr>
      <w:r w:rsidRPr="00344BBB">
        <w:rPr>
          <w:sz w:val="24"/>
          <w:szCs w:val="24"/>
        </w:rPr>
        <w:t xml:space="preserve">Source: Public First analysis of Living Cost and Food Survey (2022/23) </w:t>
      </w:r>
    </w:p>
    <w:p w14:paraId="195C79D2" w14:textId="3DDD20F6" w:rsidR="3C85173F" w:rsidRDefault="56C91D8C" w:rsidP="1A6DFC8B">
      <w:pPr>
        <w:spacing w:before="200" w:after="120"/>
        <w:rPr>
          <w:sz w:val="28"/>
          <w:szCs w:val="28"/>
        </w:rPr>
      </w:pPr>
      <w:r w:rsidRPr="1A6DFC8B">
        <w:rPr>
          <w:sz w:val="28"/>
          <w:szCs w:val="28"/>
        </w:rPr>
        <w:t>Fuel poverty is also linked to age - 1.5 times more older households (65</w:t>
      </w:r>
      <w:r w:rsidR="3E060DAB" w:rsidRPr="1A6DFC8B">
        <w:rPr>
          <w:sz w:val="28"/>
          <w:szCs w:val="28"/>
        </w:rPr>
        <w:t>+</w:t>
      </w:r>
      <w:r w:rsidRPr="1A6DFC8B">
        <w:rPr>
          <w:sz w:val="28"/>
          <w:szCs w:val="28"/>
        </w:rPr>
        <w:t>) are in fuel poverty (</w:t>
      </w:r>
      <w:r w:rsidR="243A4702" w:rsidRPr="1A6DFC8B">
        <w:rPr>
          <w:sz w:val="28"/>
          <w:szCs w:val="28"/>
        </w:rPr>
        <w:t>15</w:t>
      </w:r>
      <w:r w:rsidRPr="1A6DFC8B">
        <w:rPr>
          <w:sz w:val="28"/>
          <w:szCs w:val="28"/>
        </w:rPr>
        <w:t>%) compared to younger households (aged 20-35, 1</w:t>
      </w:r>
      <w:r w:rsidR="3C1DC9CC" w:rsidRPr="1A6DFC8B">
        <w:rPr>
          <w:sz w:val="28"/>
          <w:szCs w:val="28"/>
        </w:rPr>
        <w:t>0</w:t>
      </w:r>
      <w:r w:rsidRPr="1A6DFC8B">
        <w:rPr>
          <w:sz w:val="28"/>
          <w:szCs w:val="28"/>
        </w:rPr>
        <w:t>%)</w:t>
      </w:r>
      <w:r w:rsidR="5B43EAB0" w:rsidRPr="1A6DFC8B">
        <w:rPr>
          <w:sz w:val="28"/>
          <w:szCs w:val="28"/>
        </w:rPr>
        <w:t>.</w:t>
      </w:r>
      <w:r w:rsidR="5CB201A3" w:rsidRPr="1A6DFC8B">
        <w:rPr>
          <w:sz w:val="28"/>
          <w:szCs w:val="28"/>
        </w:rPr>
        <w:t xml:space="preserve"> Overall, Public First estimates there are around 1.3 million older households (65</w:t>
      </w:r>
      <w:r w:rsidR="36AE9599" w:rsidRPr="1A6DFC8B">
        <w:rPr>
          <w:sz w:val="28"/>
          <w:szCs w:val="28"/>
        </w:rPr>
        <w:t>+</w:t>
      </w:r>
      <w:r w:rsidR="5CB201A3" w:rsidRPr="1A6DFC8B">
        <w:rPr>
          <w:sz w:val="28"/>
          <w:szCs w:val="28"/>
        </w:rPr>
        <w:t>) in fuel poverty in Britain.</w:t>
      </w:r>
      <w:r w:rsidR="5B43EAB0" w:rsidRPr="1A6DFC8B">
        <w:rPr>
          <w:sz w:val="28"/>
          <w:szCs w:val="28"/>
        </w:rPr>
        <w:t xml:space="preserve"> Research for the Committee on Fuel Poverty suggests that fuel poverty in older households is </w:t>
      </w:r>
      <w:r w:rsidRPr="1A6DFC8B">
        <w:rPr>
          <w:sz w:val="28"/>
          <w:szCs w:val="28"/>
        </w:rPr>
        <w:t>partly driven by worse health outcomes in older age, whereby households may rely on medical equipment or require higher levels of heating to stay</w:t>
      </w:r>
      <w:r w:rsidR="5B43EAB0" w:rsidRPr="1A6DFC8B">
        <w:rPr>
          <w:sz w:val="28"/>
          <w:szCs w:val="28"/>
        </w:rPr>
        <w:t xml:space="preserve"> warm.</w:t>
      </w:r>
      <w:r w:rsidR="00F84F72" w:rsidRPr="1A6DFC8B">
        <w:rPr>
          <w:sz w:val="28"/>
          <w:szCs w:val="28"/>
          <w:vertAlign w:val="superscript"/>
        </w:rPr>
        <w:footnoteReference w:id="13"/>
      </w:r>
      <w:r w:rsidR="5B43EAB0">
        <w:rPr>
          <w:sz w:val="28"/>
          <w:szCs w:val="28"/>
        </w:rPr>
        <w:t xml:space="preserve"> </w:t>
      </w:r>
    </w:p>
    <w:p w14:paraId="410279C3" w14:textId="77777777" w:rsidR="00790237" w:rsidRPr="00790237" w:rsidRDefault="00790237" w:rsidP="3C85173F">
      <w:pPr>
        <w:spacing w:before="200" w:after="120"/>
        <w:rPr>
          <w:sz w:val="28"/>
          <w:szCs w:val="28"/>
        </w:rPr>
      </w:pPr>
    </w:p>
    <w:p w14:paraId="62DF4F5F" w14:textId="7828A06E" w:rsidR="616FDFFB" w:rsidRDefault="616FDFFB">
      <w:r>
        <w:br w:type="page"/>
      </w:r>
    </w:p>
    <w:p w14:paraId="51612BC7" w14:textId="08ED98A0" w:rsidR="001A5E58" w:rsidRDefault="497E5335" w:rsidP="1A6DFC8B">
      <w:pPr>
        <w:spacing w:before="200" w:after="120"/>
        <w:rPr>
          <w:b/>
          <w:bCs/>
          <w:sz w:val="28"/>
          <w:szCs w:val="28"/>
        </w:rPr>
      </w:pPr>
      <w:r w:rsidRPr="1A6DFC8B">
        <w:rPr>
          <w:b/>
          <w:bCs/>
          <w:sz w:val="28"/>
          <w:szCs w:val="28"/>
        </w:rPr>
        <w:lastRenderedPageBreak/>
        <w:t xml:space="preserve">Figure 5: Older households (65+) are over 1.5 times more likely to be in fuel poverty than younger households (aged 20-35). </w:t>
      </w:r>
      <w:r w:rsidRPr="00344BBB">
        <w:rPr>
          <w:sz w:val="28"/>
          <w:szCs w:val="28"/>
        </w:rPr>
        <w:t>Percentage of households in fuel poverty (&gt;10% of AHC income spent on energy) by age, GB.</w:t>
      </w:r>
    </w:p>
    <w:p w14:paraId="17D9576C" w14:textId="4E6553F2" w:rsidR="001A5E58" w:rsidRDefault="006E5510">
      <w:r>
        <w:rPr>
          <w:noProof/>
        </w:rPr>
        <w:drawing>
          <wp:inline distT="0" distB="0" distL="0" distR="0" wp14:anchorId="1743003D" wp14:editId="150BE6A6">
            <wp:extent cx="6479540" cy="4001135"/>
            <wp:effectExtent l="0" t="0" r="0" b="0"/>
            <wp:docPr id="1154839193" name="Picture 4" descr="Bar chart showing fuel poverty rates by age. Around 15% of older households (65+) are fuel poor compared with 10% of younger households aged 20–35. Public First estimates this equates to 1.3 million older households in fuel poverty. The figure underlines that older age increases likelihood of experiencing fuel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39193" name="Picture 4" descr="Bar chart showing fuel poverty rates by age. Around 15% of older households (65+) are fuel poor compared with 10% of younger households aged 20–35. Public First estimates this equates to 1.3 million older households in fuel poverty. The figure underlines that older age increases likelihood of experiencing fuel pover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4001135"/>
                    </a:xfrm>
                    <a:prstGeom prst="rect">
                      <a:avLst/>
                    </a:prstGeom>
                    <a:noFill/>
                    <a:ln>
                      <a:noFill/>
                    </a:ln>
                  </pic:spPr>
                </pic:pic>
              </a:graphicData>
            </a:graphic>
          </wp:inline>
        </w:drawing>
      </w:r>
    </w:p>
    <w:p w14:paraId="07FB93D1" w14:textId="77777777" w:rsidR="001A5E58" w:rsidRPr="00344BBB" w:rsidRDefault="00F84F72">
      <w:pPr>
        <w:spacing w:before="200" w:after="120" w:line="348" w:lineRule="auto"/>
        <w:rPr>
          <w:iCs/>
          <w:sz w:val="24"/>
          <w:szCs w:val="24"/>
        </w:rPr>
      </w:pPr>
      <w:r w:rsidRPr="00344BBB">
        <w:rPr>
          <w:iCs/>
          <w:sz w:val="24"/>
          <w:szCs w:val="24"/>
        </w:rPr>
        <w:t xml:space="preserve">Source: Public First analysis of Living Cost and Food Survey (2022/23) </w:t>
      </w:r>
    </w:p>
    <w:p w14:paraId="59627AA3" w14:textId="77777777" w:rsidR="001A5E58" w:rsidRDefault="001A5E58">
      <w:pPr>
        <w:spacing w:before="200" w:after="120" w:line="348" w:lineRule="auto"/>
        <w:rPr>
          <w:i/>
          <w:sz w:val="26"/>
          <w:szCs w:val="26"/>
        </w:rPr>
      </w:pPr>
    </w:p>
    <w:p w14:paraId="3207A485" w14:textId="36D72347" w:rsidR="001A5E58" w:rsidRDefault="3DE4D3F4">
      <w:pPr>
        <w:rPr>
          <w:sz w:val="28"/>
          <w:szCs w:val="28"/>
        </w:rPr>
      </w:pPr>
      <w:r w:rsidRPr="1A6DFC8B">
        <w:rPr>
          <w:sz w:val="28"/>
          <w:szCs w:val="28"/>
        </w:rPr>
        <w:t>Affordability is also related to how households pay for their energy. Historically, prepayment meter customers faced higher standing charges and fewer tariff options meant these households paid a premium on their energy consumption, compared to direct debit households. During the energy crisis, the previous government scrapped the prepayment meter premium following significant public debate on the grounds of fairness. While prepayment meter households still see higher rates of fuel poverty compared to direct debit and standard credit users, this is now more closely associated with wider aspects of vulnerability that prepayment meter customers are more likely to experience, such as low and/or unpredictable income, and disability and health conditions</w:t>
      </w:r>
      <w:r w:rsidR="3C99AD6F" w:rsidRPr="1A6DFC8B">
        <w:rPr>
          <w:sz w:val="28"/>
          <w:szCs w:val="28"/>
        </w:rPr>
        <w:t xml:space="preserve"> which can lead to forced installations and ‘self-disconnecting’ i.e. not topping up out of choice or necessity</w:t>
      </w:r>
      <w:r w:rsidRPr="1A6DFC8B">
        <w:rPr>
          <w:sz w:val="28"/>
          <w:szCs w:val="28"/>
        </w:rPr>
        <w:t>.</w:t>
      </w:r>
      <w:r w:rsidR="3C99AD6F" w:rsidRPr="1A6DFC8B">
        <w:rPr>
          <w:sz w:val="28"/>
          <w:szCs w:val="28"/>
        </w:rPr>
        <w:t xml:space="preserve"> This may mean that households on prepayment meters are unable to meet their energy needs sufficiently, compared to households using other payment methods.</w:t>
      </w:r>
    </w:p>
    <w:p w14:paraId="7FC37BF5" w14:textId="6926F479" w:rsidR="71E812B3" w:rsidRDefault="497E5335" w:rsidP="3C85173F">
      <w:pPr>
        <w:rPr>
          <w:sz w:val="28"/>
          <w:szCs w:val="28"/>
        </w:rPr>
      </w:pPr>
      <w:r w:rsidRPr="1A6DFC8B">
        <w:rPr>
          <w:sz w:val="28"/>
          <w:szCs w:val="28"/>
        </w:rPr>
        <w:t xml:space="preserve">Standard credit customers face the deepest fuel poverty premium of all payment methods at around £100 more in electricity than the average fuel poverty gap </w:t>
      </w:r>
      <w:r w:rsidRPr="1A6DFC8B">
        <w:rPr>
          <w:sz w:val="28"/>
          <w:szCs w:val="28"/>
        </w:rPr>
        <w:lastRenderedPageBreak/>
        <w:t>(£407). The gap is also growing, now standing at its largest (except for at the height of the energy crisis when the Energy Price Guarantee was in place) and could likely continue. This is largely driven by the levels of consumer debt paid for by standard credit customers, as well as a small premium for covering the cost of serving these customers through posting bills and manually processing payments.</w:t>
      </w:r>
    </w:p>
    <w:p w14:paraId="19525824" w14:textId="77777777" w:rsidR="001A5E58" w:rsidRDefault="001A5E58">
      <w:pPr>
        <w:rPr>
          <w:sz w:val="28"/>
          <w:szCs w:val="28"/>
        </w:rPr>
      </w:pPr>
    </w:p>
    <w:p w14:paraId="070C17E7" w14:textId="107F9F06" w:rsidR="001A5E58" w:rsidRDefault="5A4A5C02">
      <w:pPr>
        <w:spacing w:before="200" w:after="120"/>
        <w:rPr>
          <w:sz w:val="28"/>
          <w:szCs w:val="28"/>
        </w:rPr>
      </w:pPr>
      <w:r w:rsidRPr="1A6DFC8B">
        <w:rPr>
          <w:b/>
          <w:bCs/>
          <w:sz w:val="28"/>
          <w:szCs w:val="28"/>
        </w:rPr>
        <w:t xml:space="preserve">Figure </w:t>
      </w:r>
      <w:r w:rsidR="2F4650BC" w:rsidRPr="1A6DFC8B">
        <w:rPr>
          <w:b/>
          <w:bCs/>
          <w:sz w:val="28"/>
          <w:szCs w:val="28"/>
        </w:rPr>
        <w:t>6</w:t>
      </w:r>
      <w:r w:rsidRPr="1A6DFC8B">
        <w:rPr>
          <w:b/>
          <w:bCs/>
          <w:sz w:val="28"/>
          <w:szCs w:val="28"/>
        </w:rPr>
        <w:t xml:space="preserve">: Standard credit customers face the deepest fuel poverty premium. </w:t>
      </w:r>
      <w:r w:rsidRPr="00344BBB">
        <w:rPr>
          <w:sz w:val="28"/>
          <w:szCs w:val="28"/>
        </w:rPr>
        <w:t>Average fuel poverty gap by payment method</w:t>
      </w:r>
      <w:r w:rsidR="102D0A7F" w:rsidRPr="00344BBB">
        <w:rPr>
          <w:sz w:val="28"/>
          <w:szCs w:val="28"/>
        </w:rPr>
        <w:t>, GB</w:t>
      </w:r>
      <w:r w:rsidRPr="00344BBB">
        <w:rPr>
          <w:sz w:val="28"/>
          <w:szCs w:val="28"/>
        </w:rPr>
        <w:t>.</w:t>
      </w:r>
    </w:p>
    <w:p w14:paraId="75FD9C95" w14:textId="4F7A310A" w:rsidR="001A5E58" w:rsidRDefault="007872A5">
      <w:pPr>
        <w:rPr>
          <w:sz w:val="28"/>
          <w:szCs w:val="28"/>
        </w:rPr>
      </w:pPr>
      <w:r>
        <w:rPr>
          <w:noProof/>
        </w:rPr>
        <w:drawing>
          <wp:inline distT="0" distB="0" distL="0" distR="0" wp14:anchorId="0D29C8B4" wp14:editId="2E260D32">
            <wp:extent cx="6479540" cy="4008755"/>
            <wp:effectExtent l="0" t="0" r="0" b="0"/>
            <wp:docPr id="86780906" name="Picture 5" descr="Bar chart of average fuel poverty gap (the shortfall in energy affordability) by payment method. Standard credit households face the highest gap at around £507, which is £100 more than the average gap of £407. Prepayment meter and direct debit customers face smaller gaps. The figure shows that standard credit customers pay the biggest premium, worsening their affordability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0906" name="Picture 5" descr="Bar chart of average fuel poverty gap (the shortfall in energy affordability) by payment method. Standard credit households face the highest gap at around £507, which is £100 more than the average gap of £407. Prepayment meter and direct debit customers face smaller gaps. The figure shows that standard credit customers pay the biggest premium, worsening their affordability challen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4008755"/>
                    </a:xfrm>
                    <a:prstGeom prst="rect">
                      <a:avLst/>
                    </a:prstGeom>
                    <a:noFill/>
                    <a:ln>
                      <a:noFill/>
                    </a:ln>
                  </pic:spPr>
                </pic:pic>
              </a:graphicData>
            </a:graphic>
          </wp:inline>
        </w:drawing>
      </w:r>
    </w:p>
    <w:p w14:paraId="1D6CEBA7" w14:textId="77777777" w:rsidR="001A5E58" w:rsidRPr="00344BBB" w:rsidRDefault="00F84F72">
      <w:pPr>
        <w:spacing w:before="200" w:after="120" w:line="348" w:lineRule="auto"/>
        <w:rPr>
          <w:iCs/>
          <w:sz w:val="24"/>
          <w:szCs w:val="24"/>
        </w:rPr>
      </w:pPr>
      <w:r w:rsidRPr="00344BBB">
        <w:rPr>
          <w:iCs/>
          <w:sz w:val="24"/>
          <w:szCs w:val="24"/>
        </w:rPr>
        <w:t>Source: DESNZ, Fuel Poverty Statistics 2025 (2024 data)</w:t>
      </w:r>
    </w:p>
    <w:p w14:paraId="76993251" w14:textId="77777777" w:rsidR="001A5E58" w:rsidRDefault="001A5E58">
      <w:pPr>
        <w:rPr>
          <w:sz w:val="28"/>
          <w:szCs w:val="28"/>
        </w:rPr>
      </w:pPr>
    </w:p>
    <w:p w14:paraId="6E2C46A8" w14:textId="77777777" w:rsidR="001A5E58" w:rsidRDefault="367B7873">
      <w:pPr>
        <w:rPr>
          <w:sz w:val="28"/>
          <w:szCs w:val="28"/>
        </w:rPr>
      </w:pPr>
      <w:r>
        <w:rPr>
          <w:sz w:val="28"/>
          <w:szCs w:val="28"/>
        </w:rPr>
        <w:t xml:space="preserve">Energy efficiency is also a key driver of fuel poverty, as less efficient homes require more energy, and therefore cost more, to heat and power. While our analysis cannot account for efficiency directly, as EPC data is not included in the Living Cost and Food Survey, government data on the English LILEE fuel poverty metric demonstrates its impact on fuel poverty. It is worth noting that the Government’s LILEE metric sets an absolute threshold above which it considers that a household cannot be fuel-poor (FPEER band C) regardless of income. The latest fuel poverty statistics in England show that while the majority (83%) of fuel poor households fall just below the efficiency threshold (FPEER band D), the fuel poverty gap between households in bands F and G is over £1,500 higher than for </w:t>
      </w:r>
      <w:r>
        <w:rPr>
          <w:sz w:val="28"/>
          <w:szCs w:val="28"/>
        </w:rPr>
        <w:lastRenderedPageBreak/>
        <w:t>163,000 households in band D.</w:t>
      </w:r>
      <w:r w:rsidR="00F84F72">
        <w:rPr>
          <w:sz w:val="28"/>
          <w:szCs w:val="28"/>
          <w:vertAlign w:val="superscript"/>
        </w:rPr>
        <w:footnoteReference w:id="14"/>
      </w:r>
      <w:r>
        <w:rPr>
          <w:sz w:val="28"/>
          <w:szCs w:val="28"/>
        </w:rPr>
        <w:t xml:space="preserve"> Energy efficiency, therefore, does not just influence who is fuel poor, it also shapes the severity of their experience.</w:t>
      </w:r>
    </w:p>
    <w:p w14:paraId="5BB6D889" w14:textId="77777777" w:rsidR="00E817A7" w:rsidRDefault="00E817A7">
      <w:pPr>
        <w:rPr>
          <w:sz w:val="28"/>
          <w:szCs w:val="28"/>
        </w:rPr>
      </w:pPr>
    </w:p>
    <w:p w14:paraId="6B6BE738" w14:textId="593A7991" w:rsidR="367B7873" w:rsidRPr="00362D16" w:rsidRDefault="3299063D" w:rsidP="00362D16">
      <w:pPr>
        <w:pStyle w:val="Heading3"/>
        <w:rPr>
          <w:color w:val="3275C8"/>
          <w:sz w:val="32"/>
          <w:szCs w:val="32"/>
        </w:rPr>
      </w:pPr>
      <w:bookmarkStart w:id="10" w:name="_wwg6m97mwo00" w:colFirst="0" w:colLast="0"/>
      <w:bookmarkStart w:id="11" w:name="_og2m1srrvpjt"/>
      <w:bookmarkEnd w:id="10"/>
      <w:bookmarkEnd w:id="11"/>
      <w:r w:rsidRPr="00362D16">
        <w:rPr>
          <w:color w:val="3275C8"/>
          <w:sz w:val="32"/>
          <w:szCs w:val="32"/>
        </w:rPr>
        <w:t xml:space="preserve">Current targeted bill support mechanisms </w:t>
      </w:r>
      <w:r w:rsidR="3E215591" w:rsidRPr="00362D16">
        <w:rPr>
          <w:color w:val="3275C8"/>
          <w:sz w:val="32"/>
          <w:szCs w:val="32"/>
        </w:rPr>
        <w:t>require improvements to adequately tackle the affordability challenge.</w:t>
      </w:r>
    </w:p>
    <w:p w14:paraId="31F0D244" w14:textId="46749F20" w:rsidR="001A5E58" w:rsidRDefault="71E812B3" w:rsidP="3C85173F">
      <w:pPr>
        <w:rPr>
          <w:sz w:val="28"/>
          <w:szCs w:val="28"/>
        </w:rPr>
      </w:pPr>
      <w:r w:rsidRPr="3C85173F">
        <w:rPr>
          <w:sz w:val="28"/>
          <w:szCs w:val="28"/>
        </w:rPr>
        <w:t xml:space="preserve">Various initiatives exist to support households with energy affordability, including debt repayment schemes, energy efficiency upgrades, and targeted bill support. This report is focused on the latter, </w:t>
      </w:r>
      <w:r w:rsidR="13573A9B" w:rsidRPr="3C85173F">
        <w:rPr>
          <w:sz w:val="28"/>
          <w:szCs w:val="28"/>
        </w:rPr>
        <w:t>also referred to as an energy bill discount</w:t>
      </w:r>
      <w:r w:rsidR="3E4F302C" w:rsidRPr="3C85173F">
        <w:rPr>
          <w:sz w:val="28"/>
          <w:szCs w:val="28"/>
        </w:rPr>
        <w:t xml:space="preserve">. Since the energy crisis, many across the sector have come to use the term ‘social tariff’ to mean a wide range of proposed mechanisms that </w:t>
      </w:r>
      <w:r w:rsidR="79B41359" w:rsidRPr="3C85173F">
        <w:rPr>
          <w:sz w:val="28"/>
          <w:szCs w:val="28"/>
        </w:rPr>
        <w:t xml:space="preserve">provide enable </w:t>
      </w:r>
      <w:r w:rsidR="3E4F302C" w:rsidRPr="3C85173F">
        <w:rPr>
          <w:sz w:val="28"/>
          <w:szCs w:val="28"/>
        </w:rPr>
        <w:t xml:space="preserve">vulnerable customers </w:t>
      </w:r>
      <w:r w:rsidR="56529D17" w:rsidRPr="3C85173F">
        <w:rPr>
          <w:sz w:val="28"/>
          <w:szCs w:val="28"/>
        </w:rPr>
        <w:t>to benefit from a discount on their bills</w:t>
      </w:r>
      <w:r w:rsidR="29B8E9FE" w:rsidRPr="3C85173F">
        <w:rPr>
          <w:sz w:val="28"/>
          <w:szCs w:val="28"/>
        </w:rPr>
        <w:t>.</w:t>
      </w:r>
      <w:r w:rsidR="4F473A57" w:rsidRPr="3C85173F">
        <w:rPr>
          <w:sz w:val="28"/>
          <w:szCs w:val="28"/>
        </w:rPr>
        <w:t xml:space="preserve"> </w:t>
      </w:r>
    </w:p>
    <w:p w14:paraId="1EDAC392" w14:textId="0257BB35" w:rsidR="001A5E58" w:rsidRPr="00344BBB" w:rsidRDefault="68F40CFF" w:rsidP="3C85173F">
      <w:pPr>
        <w:rPr>
          <w:sz w:val="28"/>
          <w:szCs w:val="28"/>
        </w:rPr>
      </w:pPr>
      <w:r w:rsidRPr="3C85173F">
        <w:rPr>
          <w:sz w:val="28"/>
          <w:szCs w:val="28"/>
        </w:rPr>
        <w:t>Social tariffs exist</w:t>
      </w:r>
      <w:r w:rsidR="2C68DBE2" w:rsidRPr="3C85173F">
        <w:rPr>
          <w:sz w:val="28"/>
          <w:szCs w:val="28"/>
        </w:rPr>
        <w:t>, although in varied forms,</w:t>
      </w:r>
      <w:r w:rsidRPr="3C85173F">
        <w:rPr>
          <w:sz w:val="28"/>
          <w:szCs w:val="28"/>
        </w:rPr>
        <w:t xml:space="preserve"> across </w:t>
      </w:r>
      <w:r w:rsidR="1EA39F66" w:rsidRPr="3C85173F">
        <w:rPr>
          <w:sz w:val="28"/>
          <w:szCs w:val="28"/>
        </w:rPr>
        <w:t xml:space="preserve">other utilities like water and </w:t>
      </w:r>
      <w:proofErr w:type="spellStart"/>
      <w:r w:rsidR="1EA39F66" w:rsidRPr="3C85173F">
        <w:rPr>
          <w:sz w:val="28"/>
          <w:szCs w:val="28"/>
        </w:rPr>
        <w:t>telecomms</w:t>
      </w:r>
      <w:proofErr w:type="spellEnd"/>
      <w:r w:rsidR="55BE2B7E" w:rsidRPr="3C85173F">
        <w:rPr>
          <w:sz w:val="28"/>
          <w:szCs w:val="28"/>
        </w:rPr>
        <w:t xml:space="preserve">. </w:t>
      </w:r>
      <w:r w:rsidR="193688C7" w:rsidRPr="3C85173F">
        <w:rPr>
          <w:sz w:val="28"/>
          <w:szCs w:val="28"/>
        </w:rPr>
        <w:t xml:space="preserve">As costs increase across the economy and bills for water and energy rise, many stakeholders have called for existing mechanisms to be reconsidered. For example, The </w:t>
      </w:r>
      <w:r w:rsidR="5EAC6326" w:rsidRPr="3C85173F">
        <w:rPr>
          <w:sz w:val="28"/>
          <w:szCs w:val="28"/>
        </w:rPr>
        <w:t>Independent Water Commission</w:t>
      </w:r>
      <w:r w:rsidR="47C17B8F" w:rsidRPr="3C85173F">
        <w:rPr>
          <w:sz w:val="28"/>
          <w:szCs w:val="28"/>
        </w:rPr>
        <w:t xml:space="preserve"> led by Sir Jon Cunliffe recently </w:t>
      </w:r>
      <w:r w:rsidR="47C17B8F" w:rsidRPr="00344BBB">
        <w:rPr>
          <w:sz w:val="28"/>
          <w:szCs w:val="28"/>
        </w:rPr>
        <w:t xml:space="preserve">recommended “the introduction of a national social tariff [in water] to provide consistent support for low-income customers who need support to pay their bills. </w:t>
      </w:r>
      <w:r w:rsidR="5E34A07F" w:rsidRPr="00344BBB">
        <w:rPr>
          <w:sz w:val="28"/>
          <w:szCs w:val="28"/>
        </w:rPr>
        <w:t xml:space="preserve">This will help address the widely different levels of support </w:t>
      </w:r>
      <w:r w:rsidR="704C9DAA" w:rsidRPr="00344BBB">
        <w:rPr>
          <w:sz w:val="28"/>
          <w:szCs w:val="28"/>
        </w:rPr>
        <w:t>currently</w:t>
      </w:r>
      <w:r w:rsidR="5E34A07F" w:rsidRPr="00344BBB">
        <w:rPr>
          <w:sz w:val="28"/>
          <w:szCs w:val="28"/>
        </w:rPr>
        <w:t xml:space="preserve"> in place, with caps on bills varying by £100s in different parts of the country.”</w:t>
      </w:r>
      <w:r w:rsidR="1536D120" w:rsidRPr="00344BBB">
        <w:rPr>
          <w:rStyle w:val="FootnoteReference"/>
          <w:sz w:val="28"/>
          <w:szCs w:val="28"/>
        </w:rPr>
        <w:footnoteReference w:id="15"/>
      </w:r>
    </w:p>
    <w:p w14:paraId="6C10FF53" w14:textId="0CA9BC5F" w:rsidR="001A5E58" w:rsidRDefault="4C5F965E" w:rsidP="3C85173F">
      <w:pPr>
        <w:rPr>
          <w:sz w:val="28"/>
          <w:szCs w:val="28"/>
        </w:rPr>
      </w:pPr>
      <w:r w:rsidRPr="3C85173F">
        <w:rPr>
          <w:sz w:val="28"/>
          <w:szCs w:val="28"/>
        </w:rPr>
        <w:t xml:space="preserve">Historically, </w:t>
      </w:r>
      <w:r w:rsidR="2C68DEA5" w:rsidRPr="3C85173F">
        <w:rPr>
          <w:sz w:val="28"/>
          <w:szCs w:val="28"/>
        </w:rPr>
        <w:t xml:space="preserve">social tariffs were discounted tariffs offered </w:t>
      </w:r>
      <w:r w:rsidR="5E335544" w:rsidRPr="3C85173F">
        <w:rPr>
          <w:sz w:val="28"/>
          <w:szCs w:val="28"/>
        </w:rPr>
        <w:t xml:space="preserve">voluntarily </w:t>
      </w:r>
      <w:r w:rsidR="2C68DEA5" w:rsidRPr="3C85173F">
        <w:rPr>
          <w:sz w:val="28"/>
          <w:szCs w:val="28"/>
        </w:rPr>
        <w:t>by energy suppliers to elig</w:t>
      </w:r>
      <w:r w:rsidR="0383DAC2" w:rsidRPr="3C85173F">
        <w:rPr>
          <w:sz w:val="28"/>
          <w:szCs w:val="28"/>
        </w:rPr>
        <w:t>ible customers</w:t>
      </w:r>
      <w:r w:rsidR="7A287B08" w:rsidRPr="3C85173F">
        <w:rPr>
          <w:sz w:val="28"/>
          <w:szCs w:val="28"/>
        </w:rPr>
        <w:t xml:space="preserve">. While they were encouraged by government and the regulator in the early 2000s, their offering relied on the supplier’s own </w:t>
      </w:r>
      <w:r w:rsidR="60D2D098" w:rsidRPr="3C85173F">
        <w:rPr>
          <w:sz w:val="28"/>
          <w:szCs w:val="28"/>
        </w:rPr>
        <w:t xml:space="preserve">volition, and so eligibility and discounts varied across different suppliers. </w:t>
      </w:r>
      <w:r w:rsidR="3F968E12" w:rsidRPr="3C85173F">
        <w:rPr>
          <w:sz w:val="28"/>
          <w:szCs w:val="28"/>
        </w:rPr>
        <w:t xml:space="preserve">Given the design of a fixed tariff, customers </w:t>
      </w:r>
      <w:r w:rsidR="20CFBA8F" w:rsidRPr="3C85173F">
        <w:rPr>
          <w:sz w:val="28"/>
          <w:szCs w:val="28"/>
        </w:rPr>
        <w:t xml:space="preserve">were then less able to benefit from competitive </w:t>
      </w:r>
      <w:r w:rsidR="3598060F" w:rsidRPr="3C85173F">
        <w:rPr>
          <w:sz w:val="28"/>
          <w:szCs w:val="28"/>
        </w:rPr>
        <w:t xml:space="preserve">prices </w:t>
      </w:r>
      <w:r w:rsidR="20CFBA8F" w:rsidRPr="3C85173F">
        <w:rPr>
          <w:sz w:val="28"/>
          <w:szCs w:val="28"/>
        </w:rPr>
        <w:t>- s</w:t>
      </w:r>
      <w:r w:rsidR="192E8FA2" w:rsidRPr="3C85173F">
        <w:rPr>
          <w:sz w:val="28"/>
          <w:szCs w:val="28"/>
        </w:rPr>
        <w:t>tudies at the time found that customers on these tariffs could get an even better deal in the open market by switching</w:t>
      </w:r>
      <w:r w:rsidR="18B53017" w:rsidRPr="3C85173F">
        <w:rPr>
          <w:sz w:val="28"/>
          <w:szCs w:val="28"/>
        </w:rPr>
        <w:t>.</w:t>
      </w:r>
      <w:r w:rsidR="1536D120" w:rsidRPr="3C85173F">
        <w:rPr>
          <w:rStyle w:val="FootnoteReference"/>
          <w:sz w:val="28"/>
          <w:szCs w:val="28"/>
        </w:rPr>
        <w:footnoteReference w:id="16"/>
      </w:r>
      <w:r w:rsidR="568EA5AD" w:rsidRPr="3C85173F">
        <w:rPr>
          <w:sz w:val="28"/>
          <w:szCs w:val="28"/>
        </w:rPr>
        <w:t xml:space="preserve"> </w:t>
      </w:r>
      <w:r w:rsidR="7AAFC45A" w:rsidRPr="3C85173F">
        <w:rPr>
          <w:sz w:val="28"/>
          <w:szCs w:val="28"/>
        </w:rPr>
        <w:t xml:space="preserve">This report is focused on targeted bill support, meaning a discount that is applied to a customer’s existing tariff choice </w:t>
      </w:r>
      <w:r w:rsidR="5950C663" w:rsidRPr="3C85173F">
        <w:rPr>
          <w:sz w:val="28"/>
          <w:szCs w:val="28"/>
        </w:rPr>
        <w:t>as a rebate, rather than a separate tariff structure.</w:t>
      </w:r>
      <w:r w:rsidR="733C920D" w:rsidRPr="3C85173F">
        <w:rPr>
          <w:sz w:val="28"/>
          <w:szCs w:val="28"/>
        </w:rPr>
        <w:t xml:space="preserve"> This means that c</w:t>
      </w:r>
      <w:r w:rsidR="6D7379DE" w:rsidRPr="3C85173F">
        <w:rPr>
          <w:sz w:val="28"/>
          <w:szCs w:val="28"/>
        </w:rPr>
        <w:t>ustomers would still be able to benefit from targeted bill support</w:t>
      </w:r>
      <w:r w:rsidR="1F5BDEBF" w:rsidRPr="3C85173F">
        <w:rPr>
          <w:sz w:val="28"/>
          <w:szCs w:val="28"/>
        </w:rPr>
        <w:t xml:space="preserve"> even if they changed their tariff</w:t>
      </w:r>
      <w:r w:rsidR="6BEC334A" w:rsidRPr="3C85173F">
        <w:rPr>
          <w:sz w:val="28"/>
          <w:szCs w:val="28"/>
        </w:rPr>
        <w:t xml:space="preserve"> or supplier</w:t>
      </w:r>
      <w:r w:rsidR="1F5BDEBF" w:rsidRPr="3C85173F">
        <w:rPr>
          <w:sz w:val="28"/>
          <w:szCs w:val="28"/>
        </w:rPr>
        <w:t>.</w:t>
      </w:r>
    </w:p>
    <w:p w14:paraId="697624AF" w14:textId="6DFD25D1" w:rsidR="001A5E58" w:rsidRDefault="5B43EAB0" w:rsidP="3C85173F">
      <w:pPr>
        <w:rPr>
          <w:sz w:val="28"/>
          <w:szCs w:val="28"/>
        </w:rPr>
      </w:pPr>
      <w:r w:rsidRPr="1A6DFC8B">
        <w:rPr>
          <w:sz w:val="28"/>
          <w:szCs w:val="28"/>
        </w:rPr>
        <w:t xml:space="preserve">The current approach to targeted bill support </w:t>
      </w:r>
      <w:r w:rsidR="4E5D05D2" w:rsidRPr="1A6DFC8B">
        <w:rPr>
          <w:sz w:val="28"/>
          <w:szCs w:val="28"/>
        </w:rPr>
        <w:t xml:space="preserve">largely relies on the Warm Home Discount (explained in more detail below), which is due to </w:t>
      </w:r>
      <w:r w:rsidR="02783902" w:rsidRPr="1A6DFC8B">
        <w:rPr>
          <w:sz w:val="28"/>
          <w:szCs w:val="28"/>
        </w:rPr>
        <w:t xml:space="preserve">end </w:t>
      </w:r>
      <w:r w:rsidR="4E5D05D2" w:rsidRPr="1A6DFC8B">
        <w:rPr>
          <w:sz w:val="28"/>
          <w:szCs w:val="28"/>
        </w:rPr>
        <w:t xml:space="preserve">in April 2026. After </w:t>
      </w:r>
      <w:r w:rsidR="271BE24D" w:rsidRPr="1A6DFC8B">
        <w:rPr>
          <w:sz w:val="28"/>
          <w:szCs w:val="28"/>
        </w:rPr>
        <w:t>which</w:t>
      </w:r>
      <w:r w:rsidR="4E5D05D2" w:rsidRPr="1A6DFC8B">
        <w:rPr>
          <w:sz w:val="28"/>
          <w:szCs w:val="28"/>
        </w:rPr>
        <w:t xml:space="preserve">, </w:t>
      </w:r>
      <w:r w:rsidR="678ED939" w:rsidRPr="1A6DFC8B">
        <w:rPr>
          <w:sz w:val="28"/>
          <w:szCs w:val="28"/>
        </w:rPr>
        <w:t xml:space="preserve">around 6 million </w:t>
      </w:r>
      <w:r w:rsidR="4E5D05D2" w:rsidRPr="1A6DFC8B">
        <w:rPr>
          <w:sz w:val="28"/>
          <w:szCs w:val="28"/>
        </w:rPr>
        <w:t xml:space="preserve">vulnerable customers </w:t>
      </w:r>
      <w:r w:rsidR="0A1A3F6A" w:rsidRPr="1A6DFC8B">
        <w:rPr>
          <w:sz w:val="28"/>
          <w:szCs w:val="28"/>
        </w:rPr>
        <w:t xml:space="preserve">will see their energy bills increase as </w:t>
      </w:r>
      <w:r w:rsidR="440AE65C" w:rsidRPr="1A6DFC8B">
        <w:rPr>
          <w:sz w:val="28"/>
          <w:szCs w:val="28"/>
        </w:rPr>
        <w:t>the rebate</w:t>
      </w:r>
      <w:r w:rsidR="0A1A3F6A" w:rsidRPr="1A6DFC8B">
        <w:rPr>
          <w:sz w:val="28"/>
          <w:szCs w:val="28"/>
        </w:rPr>
        <w:t xml:space="preserve"> is removed. </w:t>
      </w:r>
      <w:r w:rsidR="3BF62058" w:rsidRPr="1A6DFC8B">
        <w:rPr>
          <w:sz w:val="28"/>
          <w:szCs w:val="28"/>
        </w:rPr>
        <w:t xml:space="preserve">The report ultimately recommends building on the Warm Home Discount by extending and improving it beyond April 2026 to provide deeper support to a wider set of vulnerable customers beyond the welfare system. </w:t>
      </w:r>
      <w:r w:rsidR="297EA832" w:rsidRPr="1A6DFC8B">
        <w:rPr>
          <w:sz w:val="28"/>
          <w:szCs w:val="28"/>
        </w:rPr>
        <w:lastRenderedPageBreak/>
        <w:t xml:space="preserve">The details of this are explored in later chapters. This section examines the current </w:t>
      </w:r>
      <w:r w:rsidR="284E5CE1" w:rsidRPr="1A6DFC8B">
        <w:rPr>
          <w:sz w:val="28"/>
          <w:szCs w:val="28"/>
        </w:rPr>
        <w:t>design</w:t>
      </w:r>
      <w:r w:rsidR="297EA832" w:rsidRPr="1A6DFC8B">
        <w:rPr>
          <w:sz w:val="28"/>
          <w:szCs w:val="28"/>
        </w:rPr>
        <w:t xml:space="preserve"> of the WHD, including its eligibility</w:t>
      </w:r>
      <w:r w:rsidR="5FA4D45C" w:rsidRPr="1A6DFC8B">
        <w:rPr>
          <w:sz w:val="28"/>
          <w:szCs w:val="28"/>
        </w:rPr>
        <w:t xml:space="preserve">, </w:t>
      </w:r>
      <w:r w:rsidR="297EA832" w:rsidRPr="1A6DFC8B">
        <w:rPr>
          <w:sz w:val="28"/>
          <w:szCs w:val="28"/>
        </w:rPr>
        <w:t>depth of support</w:t>
      </w:r>
      <w:r w:rsidR="53E64085" w:rsidRPr="1A6DFC8B">
        <w:rPr>
          <w:sz w:val="28"/>
          <w:szCs w:val="28"/>
        </w:rPr>
        <w:t xml:space="preserve"> and impact.</w:t>
      </w:r>
      <w:bookmarkStart w:id="12" w:name="_43p2pv2ovy10"/>
      <w:bookmarkEnd w:id="12"/>
    </w:p>
    <w:p w14:paraId="65B35995" w14:textId="77777777" w:rsidR="00E817A7" w:rsidRDefault="00E817A7" w:rsidP="3C85173F">
      <w:pPr>
        <w:rPr>
          <w:sz w:val="28"/>
          <w:szCs w:val="28"/>
        </w:rPr>
      </w:pPr>
    </w:p>
    <w:p w14:paraId="0ECC431F" w14:textId="1E23F311" w:rsidR="001A5E58" w:rsidRPr="00362D16" w:rsidRDefault="5B43EAB0" w:rsidP="00362D16">
      <w:pPr>
        <w:pStyle w:val="Heading3"/>
        <w:rPr>
          <w:color w:val="3275C8"/>
          <w:sz w:val="28"/>
          <w:szCs w:val="28"/>
        </w:rPr>
      </w:pPr>
      <w:r w:rsidRPr="00362D16">
        <w:rPr>
          <w:color w:val="3275C8"/>
          <w:sz w:val="32"/>
          <w:szCs w:val="32"/>
        </w:rPr>
        <w:t>Warm Home Discount (WHD)</w:t>
      </w:r>
    </w:p>
    <w:p w14:paraId="24DBDD5E" w14:textId="02F8BE21" w:rsidR="71E812B3" w:rsidRDefault="71E812B3" w:rsidP="3C85173F">
      <w:pPr>
        <w:rPr>
          <w:sz w:val="28"/>
          <w:szCs w:val="28"/>
        </w:rPr>
      </w:pPr>
      <w:r w:rsidRPr="3C85173F">
        <w:rPr>
          <w:sz w:val="28"/>
          <w:szCs w:val="28"/>
        </w:rPr>
        <w:t>Currently, the main form of targeted bill support is the Warm Home Discount (WHD). This scheme provides a £150 rebate to eligible households within the welfare system, funded through a levy on all billpayers and currently averaging around £21 a year.</w:t>
      </w:r>
    </w:p>
    <w:p w14:paraId="4DA4FD3E" w14:textId="1D86291A" w:rsidR="6A13CBF0" w:rsidRDefault="6A13CBF0" w:rsidP="3C85173F">
      <w:pPr>
        <w:rPr>
          <w:sz w:val="28"/>
          <w:szCs w:val="28"/>
        </w:rPr>
      </w:pPr>
      <w:r w:rsidRPr="3C85173F">
        <w:rPr>
          <w:sz w:val="28"/>
          <w:szCs w:val="28"/>
        </w:rPr>
        <w:t>Since its introduction in April 2011, the WHD scheme has provided support to millions of households every year, helping them cover their ene</w:t>
      </w:r>
      <w:r w:rsidR="3983A5CA" w:rsidRPr="3C85173F">
        <w:rPr>
          <w:sz w:val="28"/>
          <w:szCs w:val="28"/>
        </w:rPr>
        <w:t xml:space="preserve">rgy costs through the coldest </w:t>
      </w:r>
      <w:r w:rsidR="248D14F3" w:rsidRPr="3C85173F">
        <w:rPr>
          <w:sz w:val="28"/>
          <w:szCs w:val="28"/>
        </w:rPr>
        <w:t>periods</w:t>
      </w:r>
      <w:r w:rsidR="3983A5CA" w:rsidRPr="3C85173F">
        <w:rPr>
          <w:sz w:val="28"/>
          <w:szCs w:val="28"/>
        </w:rPr>
        <w:t xml:space="preserve">. </w:t>
      </w:r>
    </w:p>
    <w:p w14:paraId="64D4D715" w14:textId="79205309" w:rsidR="6B92372D" w:rsidRDefault="6B92372D" w:rsidP="3C85173F">
      <w:pPr>
        <w:rPr>
          <w:sz w:val="28"/>
          <w:szCs w:val="28"/>
        </w:rPr>
      </w:pPr>
      <w:r w:rsidRPr="3C85173F">
        <w:rPr>
          <w:sz w:val="28"/>
          <w:szCs w:val="28"/>
        </w:rPr>
        <w:t>In its first year, just under a million households received a rebate via the WHD scheme</w:t>
      </w:r>
      <w:r w:rsidR="67749168" w:rsidRPr="3C85173F">
        <w:rPr>
          <w:sz w:val="28"/>
          <w:szCs w:val="28"/>
        </w:rPr>
        <w:t>, rising consistently to 2015/16 before stagnating</w:t>
      </w:r>
      <w:r w:rsidRPr="3C85173F">
        <w:rPr>
          <w:sz w:val="28"/>
          <w:szCs w:val="28"/>
        </w:rPr>
        <w:t xml:space="preserve"> at around 2.2 million </w:t>
      </w:r>
      <w:r w:rsidR="219946C8" w:rsidRPr="3C85173F">
        <w:rPr>
          <w:sz w:val="28"/>
          <w:szCs w:val="28"/>
        </w:rPr>
        <w:t xml:space="preserve">households </w:t>
      </w:r>
      <w:r w:rsidRPr="3C85173F">
        <w:rPr>
          <w:sz w:val="28"/>
          <w:szCs w:val="28"/>
        </w:rPr>
        <w:t>until 2022</w:t>
      </w:r>
      <w:r w:rsidR="6A959D07" w:rsidRPr="3C85173F">
        <w:rPr>
          <w:sz w:val="28"/>
          <w:szCs w:val="28"/>
        </w:rPr>
        <w:t>. T</w:t>
      </w:r>
      <w:r w:rsidR="71FC245A" w:rsidRPr="3C85173F">
        <w:rPr>
          <w:sz w:val="28"/>
          <w:szCs w:val="28"/>
        </w:rPr>
        <w:t>his past winter (2024/25)</w:t>
      </w:r>
      <w:r w:rsidR="139561B4" w:rsidRPr="3C85173F">
        <w:rPr>
          <w:sz w:val="28"/>
          <w:szCs w:val="28"/>
        </w:rPr>
        <w:t xml:space="preserve"> saw the most beneficiaries from the WHD in its history with 3.2 million households.</w:t>
      </w:r>
    </w:p>
    <w:p w14:paraId="69C646B5" w14:textId="43B0AB80" w:rsidR="6B92372D" w:rsidRDefault="6B92372D" w:rsidP="3C85173F">
      <w:pPr>
        <w:spacing w:before="240" w:after="240"/>
        <w:rPr>
          <w:sz w:val="28"/>
          <w:szCs w:val="28"/>
        </w:rPr>
      </w:pPr>
      <w:r w:rsidRPr="616FDFFB">
        <w:rPr>
          <w:sz w:val="28"/>
          <w:szCs w:val="28"/>
        </w:rPr>
        <w:t xml:space="preserve">Beyond just easing the immediate financial pressures, the scheme has also </w:t>
      </w:r>
      <w:r w:rsidR="7E1DBE91" w:rsidRPr="616FDFFB">
        <w:rPr>
          <w:sz w:val="28"/>
          <w:szCs w:val="28"/>
        </w:rPr>
        <w:t xml:space="preserve">very </w:t>
      </w:r>
      <w:r w:rsidR="798E0A23" w:rsidRPr="616FDFFB">
        <w:rPr>
          <w:sz w:val="28"/>
          <w:szCs w:val="28"/>
        </w:rPr>
        <w:t>likely</w:t>
      </w:r>
      <w:r w:rsidR="7E1DBE91" w:rsidRPr="616FDFFB">
        <w:rPr>
          <w:sz w:val="28"/>
          <w:szCs w:val="28"/>
        </w:rPr>
        <w:t xml:space="preserve"> </w:t>
      </w:r>
      <w:r w:rsidRPr="616FDFFB">
        <w:rPr>
          <w:sz w:val="28"/>
          <w:szCs w:val="28"/>
        </w:rPr>
        <w:t>contributed to improved overall health outcomes by reducing the rate of cold-related issues, such as respiratory illness and excess winter deaths</w:t>
      </w:r>
      <w:r w:rsidR="6FAF2586" w:rsidRPr="616FDFFB">
        <w:rPr>
          <w:sz w:val="28"/>
          <w:szCs w:val="28"/>
        </w:rPr>
        <w:t xml:space="preserve">, </w:t>
      </w:r>
      <w:r w:rsidR="506D3E6C" w:rsidRPr="616FDFFB">
        <w:rPr>
          <w:sz w:val="28"/>
          <w:szCs w:val="28"/>
        </w:rPr>
        <w:t>highlighted in previous government policy evaluations.</w:t>
      </w:r>
      <w:r w:rsidR="6FBF7746" w:rsidRPr="616FDFFB">
        <w:rPr>
          <w:sz w:val="28"/>
          <w:szCs w:val="28"/>
        </w:rPr>
        <w:t xml:space="preserve"> </w:t>
      </w:r>
    </w:p>
    <w:p w14:paraId="0B5EE33B" w14:textId="47793CF0" w:rsidR="3C85173F" w:rsidRDefault="3C85173F" w:rsidP="3C85173F">
      <w:pPr>
        <w:rPr>
          <w:sz w:val="28"/>
          <w:szCs w:val="28"/>
        </w:rPr>
      </w:pPr>
    </w:p>
    <w:p w14:paraId="5CAD8AF0" w14:textId="113E3F8D" w:rsidR="3C85173F" w:rsidRDefault="3C85173F" w:rsidP="3C85173F"/>
    <w:p w14:paraId="131D74C7" w14:textId="1DA1B1F0" w:rsidR="3C85173F" w:rsidRDefault="3C85173F">
      <w:r>
        <w:br w:type="page"/>
      </w:r>
    </w:p>
    <w:p w14:paraId="038EE0D1" w14:textId="2C981603" w:rsidR="0A3FA440" w:rsidRDefault="6881C225" w:rsidP="3C85173F">
      <w:pPr>
        <w:rPr>
          <w:sz w:val="28"/>
          <w:szCs w:val="28"/>
        </w:rPr>
      </w:pPr>
      <w:r w:rsidRPr="1A6DFC8B">
        <w:rPr>
          <w:b/>
          <w:bCs/>
          <w:sz w:val="28"/>
          <w:szCs w:val="28"/>
        </w:rPr>
        <w:lastRenderedPageBreak/>
        <w:t xml:space="preserve">Figure </w:t>
      </w:r>
      <w:r w:rsidR="2F4650BC" w:rsidRPr="1A6DFC8B">
        <w:rPr>
          <w:b/>
          <w:bCs/>
          <w:sz w:val="28"/>
          <w:szCs w:val="28"/>
        </w:rPr>
        <w:t>7</w:t>
      </w:r>
      <w:r w:rsidRPr="1A6DFC8B">
        <w:rPr>
          <w:b/>
          <w:bCs/>
          <w:sz w:val="28"/>
          <w:szCs w:val="28"/>
        </w:rPr>
        <w:t>: The WHD has supported millions of ho</w:t>
      </w:r>
      <w:r w:rsidR="54914EBD" w:rsidRPr="1A6DFC8B">
        <w:rPr>
          <w:b/>
          <w:bCs/>
          <w:sz w:val="28"/>
          <w:szCs w:val="28"/>
        </w:rPr>
        <w:t>useholds</w:t>
      </w:r>
      <w:r w:rsidRPr="1A6DFC8B">
        <w:rPr>
          <w:b/>
          <w:bCs/>
          <w:sz w:val="28"/>
          <w:szCs w:val="28"/>
        </w:rPr>
        <w:t xml:space="preserve"> per year since it was introduced in 2011. </w:t>
      </w:r>
      <w:r w:rsidR="74C94FEA" w:rsidRPr="00344BBB">
        <w:rPr>
          <w:sz w:val="28"/>
          <w:szCs w:val="28"/>
        </w:rPr>
        <w:t>Number of households receiving rebates from the WHD scheme since it began in 2011</w:t>
      </w:r>
      <w:r w:rsidR="0F755C4B" w:rsidRPr="00344BBB">
        <w:rPr>
          <w:sz w:val="28"/>
          <w:szCs w:val="28"/>
        </w:rPr>
        <w:t>, GB</w:t>
      </w:r>
      <w:r w:rsidRPr="1A6DFC8B">
        <w:rPr>
          <w:i/>
          <w:iCs/>
          <w:sz w:val="28"/>
          <w:szCs w:val="28"/>
        </w:rPr>
        <w:t>.</w:t>
      </w:r>
    </w:p>
    <w:p w14:paraId="09DE4393" w14:textId="5C40FE71" w:rsidR="3AB0EBBF" w:rsidRDefault="005E5A97">
      <w:r>
        <w:rPr>
          <w:noProof/>
        </w:rPr>
        <w:drawing>
          <wp:inline distT="0" distB="0" distL="0" distR="0" wp14:anchorId="5B2CC29C" wp14:editId="77DEABC6">
            <wp:extent cx="6479540" cy="4015105"/>
            <wp:effectExtent l="0" t="0" r="0" b="0"/>
            <wp:docPr id="77353669" name="Picture 6" descr="Line chart tracking the number of households receiving WHD rebates annually from 2011 to 2025. The scheme began with under 1 million households in 2011, rising steadily to 2.2 million by 2016. Numbers plateaued until 2022, then expanded sharply to 3.2 million in 2024/25. The chart demonstrates steady growth in WHD coverage, with a major expansion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3669" name="Picture 6" descr="Line chart tracking the number of households receiving WHD rebates annually from 2011 to 2025. The scheme began with under 1 million households in 2011, rising steadily to 2.2 million by 2016. Numbers plateaued until 2022, then expanded sharply to 3.2 million in 2024/25. The chart demonstrates steady growth in WHD coverage, with a major expansion in recent yea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p>
    <w:p w14:paraId="7E709F13" w14:textId="398B7580" w:rsidR="54EFB520" w:rsidRPr="00344BBB" w:rsidRDefault="54EFB520" w:rsidP="3C85173F">
      <w:pPr>
        <w:spacing w:before="200" w:after="120" w:line="348" w:lineRule="auto"/>
        <w:rPr>
          <w:sz w:val="24"/>
          <w:szCs w:val="24"/>
        </w:rPr>
      </w:pPr>
      <w:r w:rsidRPr="00344BBB">
        <w:rPr>
          <w:sz w:val="24"/>
          <w:szCs w:val="24"/>
        </w:rPr>
        <w:t>Source: DESNZ Warm Homes Discount St</w:t>
      </w:r>
      <w:r w:rsidR="392C4366" w:rsidRPr="00344BBB">
        <w:rPr>
          <w:sz w:val="24"/>
          <w:szCs w:val="24"/>
        </w:rPr>
        <w:t>atistics 2024/25</w:t>
      </w:r>
    </w:p>
    <w:p w14:paraId="535C9688" w14:textId="46F7AF70" w:rsidR="3C85173F" w:rsidRDefault="3C85173F" w:rsidP="3C85173F"/>
    <w:p w14:paraId="4904A477" w14:textId="746CCDCD" w:rsidR="6F0949EF" w:rsidRPr="00362D16" w:rsidRDefault="01CA5252" w:rsidP="00362D16">
      <w:pPr>
        <w:pStyle w:val="Heading3"/>
        <w:rPr>
          <w:color w:val="3275C8"/>
          <w:sz w:val="32"/>
          <w:szCs w:val="32"/>
        </w:rPr>
      </w:pPr>
      <w:r w:rsidRPr="00362D16">
        <w:rPr>
          <w:color w:val="3275C8"/>
          <w:sz w:val="32"/>
          <w:szCs w:val="32"/>
        </w:rPr>
        <w:t>Eligibility</w:t>
      </w:r>
    </w:p>
    <w:p w14:paraId="17759477" w14:textId="3DA711C2" w:rsidR="71E812B3" w:rsidRDefault="497E5335" w:rsidP="3C85173F">
      <w:pPr>
        <w:rPr>
          <w:sz w:val="28"/>
          <w:szCs w:val="28"/>
        </w:rPr>
      </w:pPr>
      <w:r w:rsidRPr="1A6DFC8B">
        <w:rPr>
          <w:sz w:val="28"/>
          <w:szCs w:val="28"/>
        </w:rPr>
        <w:t>Eligibility for the WHD varies across the devolved nations but is broadly divided into two groups. England and Wales have Core Group 1 which consists of pensioners receiving the Guarantee Credit element of Pension Credit and Core Group 2 covers low-income households that the government identifies as most likely to have high heating costs. This required matching property data with means-tested benefits and tax credit data to confirm eligibility. Eligible claimants included working-age households in receipt of certain means-tested benefits including Income Support, income-based Jobseeker’s Allowance, income-related Employment and Support Allowance, Housing Benefit, and certain tax credits</w:t>
      </w:r>
      <w:r w:rsidR="1FE3D896" w:rsidRPr="1A6DFC8B">
        <w:rPr>
          <w:sz w:val="28"/>
          <w:szCs w:val="28"/>
        </w:rPr>
        <w:t xml:space="preserve">. </w:t>
      </w:r>
      <w:r w:rsidRPr="1A6DFC8B">
        <w:rPr>
          <w:sz w:val="28"/>
          <w:szCs w:val="28"/>
        </w:rPr>
        <w:t xml:space="preserve">Scotland’s scheme has a Core Group, which works the same as England and </w:t>
      </w:r>
      <w:proofErr w:type="spellStart"/>
      <w:r w:rsidRPr="1A6DFC8B">
        <w:rPr>
          <w:sz w:val="28"/>
          <w:szCs w:val="28"/>
        </w:rPr>
        <w:t>Wales’</w:t>
      </w:r>
      <w:proofErr w:type="spellEnd"/>
      <w:r w:rsidRPr="1A6DFC8B">
        <w:rPr>
          <w:sz w:val="28"/>
          <w:szCs w:val="28"/>
        </w:rPr>
        <w:t xml:space="preserve"> Core Group 1, and a Broader Group which is for customers identified by their supplier as being at risk of fuel poverty. While England and </w:t>
      </w:r>
      <w:proofErr w:type="spellStart"/>
      <w:r w:rsidRPr="1A6DFC8B">
        <w:rPr>
          <w:sz w:val="28"/>
          <w:szCs w:val="28"/>
        </w:rPr>
        <w:t>Wales’</w:t>
      </w:r>
      <w:proofErr w:type="spellEnd"/>
      <w:r w:rsidRPr="1A6DFC8B">
        <w:rPr>
          <w:sz w:val="28"/>
          <w:szCs w:val="28"/>
        </w:rPr>
        <w:t xml:space="preserve"> scheme auto-enrols eligible households across both groups, under Scotland’s Broader Group, qualifying customers need to apply to their energy supplier. In future, </w:t>
      </w:r>
      <w:r w:rsidRPr="1A6DFC8B">
        <w:rPr>
          <w:sz w:val="28"/>
          <w:szCs w:val="28"/>
        </w:rPr>
        <w:lastRenderedPageBreak/>
        <w:t xml:space="preserve">aligning Scotland’s eligibility criteria and auto enrolment with England and Wales could improve efficiency and ensure equitable support across Great Britian. </w:t>
      </w:r>
    </w:p>
    <w:p w14:paraId="589742A5" w14:textId="4EC2D1F3" w:rsidR="05C4206B" w:rsidRDefault="3FFF8C80" w:rsidP="3C85173F">
      <w:pPr>
        <w:rPr>
          <w:sz w:val="28"/>
          <w:szCs w:val="28"/>
        </w:rPr>
      </w:pPr>
      <w:r w:rsidRPr="3C85173F">
        <w:rPr>
          <w:sz w:val="28"/>
          <w:szCs w:val="28"/>
        </w:rPr>
        <w:t>There is also another element to the W</w:t>
      </w:r>
      <w:r w:rsidR="672691CC" w:rsidRPr="3C85173F">
        <w:rPr>
          <w:sz w:val="28"/>
          <w:szCs w:val="28"/>
        </w:rPr>
        <w:t>HD</w:t>
      </w:r>
      <w:r w:rsidRPr="3C85173F">
        <w:rPr>
          <w:sz w:val="28"/>
          <w:szCs w:val="28"/>
        </w:rPr>
        <w:t>,</w:t>
      </w:r>
      <w:r w:rsidR="0316DEAF" w:rsidRPr="3C85173F">
        <w:rPr>
          <w:sz w:val="28"/>
          <w:szCs w:val="28"/>
        </w:rPr>
        <w:t xml:space="preserve"> known </w:t>
      </w:r>
      <w:r w:rsidRPr="3C85173F">
        <w:rPr>
          <w:sz w:val="28"/>
          <w:szCs w:val="28"/>
        </w:rPr>
        <w:t>as i</w:t>
      </w:r>
      <w:r w:rsidR="1660888D" w:rsidRPr="3C85173F">
        <w:rPr>
          <w:sz w:val="28"/>
          <w:szCs w:val="28"/>
        </w:rPr>
        <w:t xml:space="preserve">ndustry initiatives </w:t>
      </w:r>
      <w:r w:rsidR="417693D3" w:rsidRPr="3C85173F">
        <w:rPr>
          <w:sz w:val="28"/>
          <w:szCs w:val="28"/>
        </w:rPr>
        <w:t>which provides wider help for fuel</w:t>
      </w:r>
      <w:r w:rsidR="23D7B1CD" w:rsidRPr="3C85173F">
        <w:rPr>
          <w:sz w:val="28"/>
          <w:szCs w:val="28"/>
        </w:rPr>
        <w:t xml:space="preserve"> </w:t>
      </w:r>
      <w:r w:rsidR="417693D3" w:rsidRPr="3C85173F">
        <w:rPr>
          <w:sz w:val="28"/>
          <w:szCs w:val="28"/>
        </w:rPr>
        <w:t xml:space="preserve">poor customers, as part of a supplier spending obligation. </w:t>
      </w:r>
      <w:r w:rsidR="2A405474" w:rsidRPr="1A6DFC8B">
        <w:rPr>
          <w:color w:val="000000" w:themeColor="text1"/>
          <w:sz w:val="28"/>
          <w:szCs w:val="28"/>
        </w:rPr>
        <w:t>This represents around 10% of the total WHD budget and is mostly spent on energy efficiency measures, as well as some other wider support programmes like debt, energy, and smart meter advice.</w:t>
      </w:r>
      <w:r w:rsidRPr="1A6DFC8B">
        <w:t>￼</w:t>
      </w:r>
      <w:r w:rsidR="7C501504" w:rsidRPr="3C85173F">
        <w:rPr>
          <w:sz w:val="28"/>
          <w:szCs w:val="28"/>
        </w:rPr>
        <w:t xml:space="preserve"> Critically, industry initiatives are accessible to </w:t>
      </w:r>
      <w:r w:rsidR="06F9C57A" w:rsidRPr="3C85173F">
        <w:rPr>
          <w:sz w:val="28"/>
          <w:szCs w:val="28"/>
        </w:rPr>
        <w:t>customers outside of the WHD eligibility criteria, meaning the schemes can reach many households at risk of fuel poverty as well.</w:t>
      </w:r>
    </w:p>
    <w:p w14:paraId="0A12F093" w14:textId="1FCC2B3F" w:rsidR="001A5E58" w:rsidRDefault="5B43EAB0" w:rsidP="3C85173F">
      <w:pPr>
        <w:spacing w:line="259" w:lineRule="auto"/>
        <w:rPr>
          <w:sz w:val="28"/>
          <w:szCs w:val="28"/>
        </w:rPr>
      </w:pPr>
      <w:r>
        <w:rPr>
          <w:sz w:val="28"/>
          <w:szCs w:val="28"/>
        </w:rPr>
        <w:t>In June 2025, the government announced an expansion of the Warm Home Discount ahead of winter to remove the high-cost-to-heat threshold. This change effectively makes all households in which the billpayer</w:t>
      </w:r>
      <w:r w:rsidR="5BBFC652">
        <w:rPr>
          <w:sz w:val="28"/>
          <w:szCs w:val="28"/>
        </w:rPr>
        <w:t xml:space="preserve"> or</w:t>
      </w:r>
      <w:r w:rsidR="317B5ACD">
        <w:rPr>
          <w:sz w:val="28"/>
          <w:szCs w:val="28"/>
        </w:rPr>
        <w:t xml:space="preserve"> their partner</w:t>
      </w:r>
      <w:r w:rsidR="3B1F5AA4">
        <w:rPr>
          <w:sz w:val="28"/>
          <w:szCs w:val="28"/>
        </w:rPr>
        <w:t xml:space="preserve"> (</w:t>
      </w:r>
      <w:r w:rsidR="317B5ACD" w:rsidRPr="1A6DFC8B">
        <w:rPr>
          <w:sz w:val="28"/>
          <w:szCs w:val="28"/>
        </w:rPr>
        <w:t xml:space="preserve">or an appointee </w:t>
      </w:r>
      <w:r w:rsidR="42AB884F" w:rsidRPr="1A6DFC8B">
        <w:rPr>
          <w:sz w:val="28"/>
          <w:szCs w:val="28"/>
        </w:rPr>
        <w:t xml:space="preserve">of someone who) receives </w:t>
      </w:r>
      <w:r w:rsidR="317B5ACD" w:rsidRPr="1A6DFC8B">
        <w:rPr>
          <w:sz w:val="28"/>
          <w:szCs w:val="28"/>
        </w:rPr>
        <w:t xml:space="preserve">means-tested benefits </w:t>
      </w:r>
      <w:r>
        <w:rPr>
          <w:sz w:val="28"/>
          <w:szCs w:val="28"/>
        </w:rPr>
        <w:t>eligible for the scheme.</w:t>
      </w:r>
      <w:r w:rsidR="70225EAC">
        <w:rPr>
          <w:sz w:val="28"/>
          <w:szCs w:val="28"/>
        </w:rPr>
        <w:t xml:space="preserve"> </w:t>
      </w:r>
      <w:r w:rsidR="773CF5F0">
        <w:rPr>
          <w:sz w:val="28"/>
          <w:szCs w:val="28"/>
        </w:rPr>
        <w:t>Although, n</w:t>
      </w:r>
      <w:r w:rsidR="739DED71" w:rsidRPr="3C85173F">
        <w:rPr>
          <w:sz w:val="28"/>
          <w:szCs w:val="28"/>
        </w:rPr>
        <w:t>otably</w:t>
      </w:r>
      <w:r w:rsidR="70225EAC">
        <w:rPr>
          <w:sz w:val="28"/>
          <w:szCs w:val="28"/>
        </w:rPr>
        <w:t>,</w:t>
      </w:r>
      <w:r w:rsidR="77033E2B">
        <w:rPr>
          <w:sz w:val="28"/>
          <w:szCs w:val="28"/>
        </w:rPr>
        <w:t xml:space="preserve"> this expansion does </w:t>
      </w:r>
      <w:r w:rsidR="70225EAC">
        <w:rPr>
          <w:sz w:val="28"/>
          <w:szCs w:val="28"/>
        </w:rPr>
        <w:t>not include disability benefit claimants</w:t>
      </w:r>
      <w:r w:rsidR="371EEF27">
        <w:rPr>
          <w:sz w:val="28"/>
          <w:szCs w:val="28"/>
        </w:rPr>
        <w:t xml:space="preserve">. </w:t>
      </w:r>
      <w:r>
        <w:rPr>
          <w:sz w:val="28"/>
          <w:szCs w:val="28"/>
        </w:rPr>
        <w:t>The government estimates that this would expand support to more low-income and fuel poor households, although with less precision, providing support to 6.1 million British households, up from 3.4 million in winter 2023/24. The actual number of households who receive the discount will depend on several factors: the number of eligible benefit recipients, whether they are named on the electricity account, data-matching success rates, and how many respond to invitations to claim the rebate.</w:t>
      </w:r>
      <w:r w:rsidR="00F84F72">
        <w:rPr>
          <w:sz w:val="28"/>
          <w:szCs w:val="28"/>
          <w:vertAlign w:val="superscript"/>
        </w:rPr>
        <w:footnoteReference w:id="17"/>
      </w:r>
      <w:r>
        <w:rPr>
          <w:sz w:val="28"/>
          <w:szCs w:val="28"/>
        </w:rPr>
        <w:t xml:space="preserve"> This broader eligibility will also increase the scheme’s total cost</w:t>
      </w:r>
      <w:r w:rsidR="6BE9D6A1">
        <w:rPr>
          <w:sz w:val="28"/>
          <w:szCs w:val="28"/>
        </w:rPr>
        <w:t xml:space="preserve"> to £1bn</w:t>
      </w:r>
      <w:r>
        <w:rPr>
          <w:sz w:val="28"/>
          <w:szCs w:val="28"/>
        </w:rPr>
        <w:t>, raising the average annual cost for</w:t>
      </w:r>
      <w:r w:rsidR="1A077AA0">
        <w:rPr>
          <w:sz w:val="28"/>
          <w:szCs w:val="28"/>
        </w:rPr>
        <w:t xml:space="preserve"> an individual</w:t>
      </w:r>
      <w:r>
        <w:rPr>
          <w:sz w:val="28"/>
          <w:szCs w:val="28"/>
        </w:rPr>
        <w:t xml:space="preserve"> billpayer to £</w:t>
      </w:r>
      <w:r w:rsidR="05A449D9">
        <w:rPr>
          <w:sz w:val="28"/>
          <w:szCs w:val="28"/>
        </w:rPr>
        <w:t>37</w:t>
      </w:r>
      <w:r>
        <w:rPr>
          <w:sz w:val="28"/>
          <w:szCs w:val="28"/>
        </w:rPr>
        <w:t>.</w:t>
      </w:r>
    </w:p>
    <w:p w14:paraId="3BCBEC5E" w14:textId="22BFA4F0" w:rsidR="001A5E58" w:rsidRDefault="497E5335" w:rsidP="3C85173F">
      <w:pPr>
        <w:spacing w:line="259" w:lineRule="auto"/>
        <w:rPr>
          <w:sz w:val="28"/>
          <w:szCs w:val="28"/>
        </w:rPr>
      </w:pPr>
      <w:r w:rsidRPr="1A6DFC8B">
        <w:rPr>
          <w:sz w:val="28"/>
          <w:szCs w:val="28"/>
        </w:rPr>
        <w:t xml:space="preserve">While the expansion of the scheme has been welcomed by many stakeholders, Public First research indicates that the majority of fuel poor households will still be ineligible for support. Public First analysis estimates that around </w:t>
      </w:r>
      <w:r w:rsidR="7CF01C43" w:rsidRPr="1A6DFC8B">
        <w:rPr>
          <w:sz w:val="28"/>
          <w:szCs w:val="28"/>
        </w:rPr>
        <w:t>33</w:t>
      </w:r>
      <w:r w:rsidRPr="1A6DFC8B">
        <w:rPr>
          <w:sz w:val="28"/>
          <w:szCs w:val="28"/>
        </w:rPr>
        <w:t>% (1.</w:t>
      </w:r>
      <w:r w:rsidR="1E5FB86C" w:rsidRPr="1A6DFC8B">
        <w:rPr>
          <w:sz w:val="28"/>
          <w:szCs w:val="28"/>
        </w:rPr>
        <w:t>2</w:t>
      </w:r>
      <w:r w:rsidRPr="1A6DFC8B">
        <w:rPr>
          <w:sz w:val="28"/>
          <w:szCs w:val="28"/>
        </w:rPr>
        <w:t xml:space="preserve"> million) of fuel poor households will be eligible for the expanded WHD scheme, compared to around </w:t>
      </w:r>
      <w:r w:rsidR="0231293D" w:rsidRPr="1A6DFC8B">
        <w:rPr>
          <w:sz w:val="28"/>
          <w:szCs w:val="28"/>
        </w:rPr>
        <w:t>67</w:t>
      </w:r>
      <w:r w:rsidRPr="1A6DFC8B">
        <w:rPr>
          <w:sz w:val="28"/>
          <w:szCs w:val="28"/>
        </w:rPr>
        <w:t>% (</w:t>
      </w:r>
      <w:r w:rsidR="0ACAE9D1" w:rsidRPr="1A6DFC8B">
        <w:rPr>
          <w:sz w:val="28"/>
          <w:szCs w:val="28"/>
        </w:rPr>
        <w:t>2.5</w:t>
      </w:r>
      <w:r w:rsidRPr="1A6DFC8B">
        <w:rPr>
          <w:sz w:val="28"/>
          <w:szCs w:val="28"/>
        </w:rPr>
        <w:t xml:space="preserve"> million) of fuel poor households that would miss out on the much-needed support (using the definition of spending over 10% of their income after housing costs on energy). The majority of those in fuel poverty missing out – </w:t>
      </w:r>
      <w:r w:rsidR="0E4278C6" w:rsidRPr="1A6DFC8B">
        <w:rPr>
          <w:sz w:val="28"/>
          <w:szCs w:val="28"/>
        </w:rPr>
        <w:t>60</w:t>
      </w:r>
      <w:r w:rsidRPr="1A6DFC8B">
        <w:rPr>
          <w:sz w:val="28"/>
          <w:szCs w:val="28"/>
        </w:rPr>
        <w:t xml:space="preserve"> of the </w:t>
      </w:r>
      <w:r w:rsidR="29E6AE58" w:rsidRPr="1A6DFC8B">
        <w:rPr>
          <w:sz w:val="28"/>
          <w:szCs w:val="28"/>
        </w:rPr>
        <w:t>67</w:t>
      </w:r>
      <w:r w:rsidRPr="1A6DFC8B">
        <w:rPr>
          <w:sz w:val="28"/>
          <w:szCs w:val="28"/>
        </w:rPr>
        <w:t xml:space="preserve"> percentage points (</w:t>
      </w:r>
      <w:r w:rsidR="49190C03" w:rsidRPr="1A6DFC8B">
        <w:rPr>
          <w:sz w:val="28"/>
          <w:szCs w:val="28"/>
        </w:rPr>
        <w:t>2.2</w:t>
      </w:r>
      <w:r w:rsidRPr="1A6DFC8B">
        <w:rPr>
          <w:sz w:val="28"/>
          <w:szCs w:val="28"/>
        </w:rPr>
        <w:t xml:space="preserve"> million) - are low-income, disabled and/or older households, most of which intersect, as shown in Figure 6. As a result, the following statistics for each household characteristic should not be combined due to double counting. Of the fuel poor households who are ineligible for expanded WHD support, Public First estimates that:</w:t>
      </w:r>
    </w:p>
    <w:p w14:paraId="1167DD8E" w14:textId="1E35AF68" w:rsidR="001A5E58" w:rsidRDefault="497E5335" w:rsidP="1A6DFC8B">
      <w:pPr>
        <w:pStyle w:val="ListParagraph"/>
        <w:numPr>
          <w:ilvl w:val="0"/>
          <w:numId w:val="6"/>
        </w:numPr>
        <w:rPr>
          <w:sz w:val="28"/>
          <w:szCs w:val="28"/>
        </w:rPr>
      </w:pPr>
      <w:r w:rsidRPr="1A6DFC8B">
        <w:rPr>
          <w:sz w:val="28"/>
          <w:szCs w:val="28"/>
        </w:rPr>
        <w:t>3</w:t>
      </w:r>
      <w:r w:rsidR="0EDB0DAC" w:rsidRPr="1A6DFC8B">
        <w:rPr>
          <w:sz w:val="28"/>
          <w:szCs w:val="28"/>
        </w:rPr>
        <w:t>4</w:t>
      </w:r>
      <w:r w:rsidRPr="1A6DFC8B">
        <w:rPr>
          <w:sz w:val="28"/>
          <w:szCs w:val="28"/>
        </w:rPr>
        <w:t xml:space="preserve"> of the </w:t>
      </w:r>
      <w:r w:rsidR="3CC27FCF" w:rsidRPr="1A6DFC8B">
        <w:rPr>
          <w:sz w:val="28"/>
          <w:szCs w:val="28"/>
        </w:rPr>
        <w:t>67</w:t>
      </w:r>
      <w:r w:rsidRPr="1A6DFC8B">
        <w:rPr>
          <w:sz w:val="28"/>
          <w:szCs w:val="28"/>
        </w:rPr>
        <w:t xml:space="preserve"> percentage points (</w:t>
      </w:r>
      <w:r w:rsidR="4C4D19AC" w:rsidRPr="1A6DFC8B">
        <w:rPr>
          <w:sz w:val="28"/>
          <w:szCs w:val="28"/>
        </w:rPr>
        <w:t>1.3</w:t>
      </w:r>
      <w:r w:rsidRPr="1A6DFC8B">
        <w:rPr>
          <w:sz w:val="28"/>
          <w:szCs w:val="28"/>
        </w:rPr>
        <w:t xml:space="preserve"> million) are older households, over 65;</w:t>
      </w:r>
    </w:p>
    <w:p w14:paraId="176FF910" w14:textId="0291C4D9" w:rsidR="001A5E58" w:rsidRDefault="497E5335" w:rsidP="1A6DFC8B">
      <w:pPr>
        <w:pStyle w:val="ListParagraph"/>
        <w:numPr>
          <w:ilvl w:val="0"/>
          <w:numId w:val="6"/>
        </w:numPr>
        <w:rPr>
          <w:sz w:val="28"/>
          <w:szCs w:val="28"/>
        </w:rPr>
      </w:pPr>
      <w:r w:rsidRPr="1A6DFC8B">
        <w:rPr>
          <w:sz w:val="28"/>
          <w:szCs w:val="28"/>
        </w:rPr>
        <w:lastRenderedPageBreak/>
        <w:t xml:space="preserve">35 of the </w:t>
      </w:r>
      <w:r w:rsidR="437AFC89" w:rsidRPr="1A6DFC8B">
        <w:rPr>
          <w:sz w:val="28"/>
          <w:szCs w:val="28"/>
        </w:rPr>
        <w:t>67</w:t>
      </w:r>
      <w:r w:rsidRPr="1A6DFC8B">
        <w:rPr>
          <w:sz w:val="28"/>
          <w:szCs w:val="28"/>
        </w:rPr>
        <w:t xml:space="preserve"> percentage points (</w:t>
      </w:r>
      <w:r w:rsidR="71846945" w:rsidRPr="1A6DFC8B">
        <w:rPr>
          <w:sz w:val="28"/>
          <w:szCs w:val="28"/>
        </w:rPr>
        <w:t>1</w:t>
      </w:r>
      <w:r w:rsidRPr="1A6DFC8B">
        <w:rPr>
          <w:sz w:val="28"/>
          <w:szCs w:val="28"/>
        </w:rPr>
        <w:t>.</w:t>
      </w:r>
      <w:r w:rsidR="6B367A5C" w:rsidRPr="1A6DFC8B">
        <w:rPr>
          <w:sz w:val="28"/>
          <w:szCs w:val="28"/>
        </w:rPr>
        <w:t>3</w:t>
      </w:r>
      <w:r w:rsidRPr="1A6DFC8B">
        <w:rPr>
          <w:sz w:val="28"/>
          <w:szCs w:val="28"/>
        </w:rPr>
        <w:t xml:space="preserve"> million) are households where a member is disabled, as defined under the Equality Act 2010;</w:t>
      </w:r>
    </w:p>
    <w:p w14:paraId="3F9B5C54" w14:textId="3BC13DB1" w:rsidR="001A5E58" w:rsidRDefault="62346D2A" w:rsidP="1A6DFC8B">
      <w:pPr>
        <w:pStyle w:val="ListParagraph"/>
        <w:numPr>
          <w:ilvl w:val="0"/>
          <w:numId w:val="6"/>
        </w:numPr>
        <w:rPr>
          <w:sz w:val="28"/>
          <w:szCs w:val="28"/>
        </w:rPr>
      </w:pPr>
      <w:r w:rsidRPr="1A6DFC8B">
        <w:rPr>
          <w:sz w:val="28"/>
          <w:szCs w:val="28"/>
        </w:rPr>
        <w:t>41</w:t>
      </w:r>
      <w:r w:rsidR="497E5335" w:rsidRPr="1A6DFC8B">
        <w:rPr>
          <w:sz w:val="28"/>
          <w:szCs w:val="28"/>
        </w:rPr>
        <w:t xml:space="preserve"> of the </w:t>
      </w:r>
      <w:r w:rsidR="046CED74" w:rsidRPr="1A6DFC8B">
        <w:rPr>
          <w:sz w:val="28"/>
          <w:szCs w:val="28"/>
        </w:rPr>
        <w:t>67</w:t>
      </w:r>
      <w:r w:rsidR="497E5335" w:rsidRPr="1A6DFC8B">
        <w:rPr>
          <w:sz w:val="28"/>
          <w:szCs w:val="28"/>
        </w:rPr>
        <w:t xml:space="preserve"> percentage points (</w:t>
      </w:r>
      <w:r w:rsidR="77EF3120" w:rsidRPr="1A6DFC8B">
        <w:rPr>
          <w:sz w:val="28"/>
          <w:szCs w:val="28"/>
        </w:rPr>
        <w:t>1.5</w:t>
      </w:r>
      <w:r w:rsidR="497E5335" w:rsidRPr="1A6DFC8B">
        <w:rPr>
          <w:sz w:val="28"/>
          <w:szCs w:val="28"/>
        </w:rPr>
        <w:t xml:space="preserve"> million) are low-income households, below the poverty line.</w:t>
      </w:r>
    </w:p>
    <w:p w14:paraId="36CC3A76" w14:textId="41910DA4" w:rsidR="001A5E58" w:rsidRDefault="5B43EAB0" w:rsidP="3C85173F">
      <w:pPr>
        <w:rPr>
          <w:sz w:val="28"/>
          <w:szCs w:val="28"/>
        </w:rPr>
      </w:pPr>
      <w:r>
        <w:rPr>
          <w:sz w:val="28"/>
          <w:szCs w:val="28"/>
        </w:rPr>
        <w:t xml:space="preserve">The government’s analysis estimates a smaller </w:t>
      </w:r>
      <w:r w:rsidR="50FECA5C">
        <w:rPr>
          <w:sz w:val="28"/>
          <w:szCs w:val="28"/>
        </w:rPr>
        <w:t>number of</w:t>
      </w:r>
      <w:r>
        <w:rPr>
          <w:sz w:val="28"/>
          <w:szCs w:val="28"/>
        </w:rPr>
        <w:t xml:space="preserve"> </w:t>
      </w:r>
      <w:r w:rsidR="50FECA5C">
        <w:rPr>
          <w:sz w:val="28"/>
          <w:szCs w:val="28"/>
        </w:rPr>
        <w:t xml:space="preserve">households will miss out from the expanded criteria - </w:t>
      </w:r>
      <w:r>
        <w:rPr>
          <w:sz w:val="28"/>
          <w:szCs w:val="28"/>
        </w:rPr>
        <w:t>55%</w:t>
      </w:r>
      <w:r w:rsidR="4CF90E33">
        <w:rPr>
          <w:sz w:val="28"/>
          <w:szCs w:val="28"/>
        </w:rPr>
        <w:t xml:space="preserve"> compared to Public First’s estimated </w:t>
      </w:r>
      <w:r w:rsidR="786A8833">
        <w:rPr>
          <w:sz w:val="28"/>
          <w:szCs w:val="28"/>
        </w:rPr>
        <w:t>67</w:t>
      </w:r>
      <w:r w:rsidR="4CF90E33" w:rsidRPr="1A6DFC8B">
        <w:rPr>
          <w:sz w:val="28"/>
          <w:szCs w:val="28"/>
        </w:rPr>
        <w:t>%.</w:t>
      </w:r>
      <w:r w:rsidR="4CF90E33">
        <w:rPr>
          <w:sz w:val="28"/>
          <w:szCs w:val="28"/>
        </w:rPr>
        <w:t xml:space="preserve"> Official documents quote this same estimate of 55% for</w:t>
      </w:r>
      <w:r>
        <w:rPr>
          <w:sz w:val="28"/>
          <w:szCs w:val="28"/>
        </w:rPr>
        <w:t xml:space="preserve"> both the LILEE definition and the affordability definition of fuel poverty.</w:t>
      </w:r>
      <w:r w:rsidR="00F84F72">
        <w:rPr>
          <w:sz w:val="28"/>
          <w:szCs w:val="28"/>
          <w:vertAlign w:val="superscript"/>
        </w:rPr>
        <w:footnoteReference w:id="18"/>
      </w:r>
      <w:r>
        <w:rPr>
          <w:sz w:val="28"/>
          <w:szCs w:val="28"/>
        </w:rPr>
        <w:t xml:space="preserve"> While it is possible that </w:t>
      </w:r>
      <w:r w:rsidR="1C23241B">
        <w:rPr>
          <w:sz w:val="28"/>
          <w:szCs w:val="28"/>
        </w:rPr>
        <w:t>the</w:t>
      </w:r>
      <w:r>
        <w:rPr>
          <w:sz w:val="28"/>
          <w:szCs w:val="28"/>
        </w:rPr>
        <w:t xml:space="preserve"> modelling does not capture the full extent of removing the ‘high-cost-to-heat’ group, the core issue remains: </w:t>
      </w:r>
      <w:r w:rsidR="70860009">
        <w:rPr>
          <w:sz w:val="28"/>
          <w:szCs w:val="28"/>
        </w:rPr>
        <w:t xml:space="preserve">even the expanded </w:t>
      </w:r>
      <w:r>
        <w:rPr>
          <w:sz w:val="28"/>
          <w:szCs w:val="28"/>
        </w:rPr>
        <w:t xml:space="preserve">WHD excludes more fuel-poor households than it reaches. </w:t>
      </w:r>
    </w:p>
    <w:p w14:paraId="5B36C372" w14:textId="5523689F" w:rsidR="001A5E58" w:rsidRDefault="5B43EAB0" w:rsidP="3C85173F">
      <w:pPr>
        <w:rPr>
          <w:sz w:val="28"/>
          <w:szCs w:val="28"/>
        </w:rPr>
      </w:pPr>
      <w:r w:rsidRPr="1A6DFC8B">
        <w:rPr>
          <w:b/>
          <w:bCs/>
          <w:sz w:val="26"/>
          <w:szCs w:val="26"/>
        </w:rPr>
        <w:t xml:space="preserve">Figure </w:t>
      </w:r>
      <w:r w:rsidR="2F4650BC" w:rsidRPr="1A6DFC8B">
        <w:rPr>
          <w:b/>
          <w:bCs/>
          <w:sz w:val="26"/>
          <w:szCs w:val="26"/>
        </w:rPr>
        <w:t>8</w:t>
      </w:r>
      <w:r w:rsidRPr="1A6DFC8B">
        <w:rPr>
          <w:b/>
          <w:bCs/>
          <w:sz w:val="26"/>
          <w:szCs w:val="26"/>
        </w:rPr>
        <w:t xml:space="preserve">: The majority of British fuel poor households are ineligible for WHD. </w:t>
      </w:r>
      <w:r w:rsidRPr="00344BBB">
        <w:rPr>
          <w:sz w:val="26"/>
          <w:szCs w:val="26"/>
        </w:rPr>
        <w:t>Euler chart on the relationship between WHD eligibility, poverty, disability status and age</w:t>
      </w:r>
      <w:r w:rsidR="5BE9C615" w:rsidRPr="00344BBB">
        <w:rPr>
          <w:sz w:val="26"/>
          <w:szCs w:val="26"/>
        </w:rPr>
        <w:t>, GB</w:t>
      </w:r>
      <w:r w:rsidRPr="00344BBB">
        <w:rPr>
          <w:sz w:val="26"/>
          <w:szCs w:val="26"/>
        </w:rPr>
        <w:t>.</w:t>
      </w:r>
    </w:p>
    <w:p w14:paraId="4810F1D5" w14:textId="4095E14B" w:rsidR="001A5E58" w:rsidRDefault="72D98C7D" w:rsidP="3C85173F">
      <w:pPr>
        <w:spacing w:before="200" w:after="120" w:line="348" w:lineRule="auto"/>
      </w:pPr>
      <w:r>
        <w:rPr>
          <w:noProof/>
        </w:rPr>
        <w:drawing>
          <wp:inline distT="0" distB="0" distL="0" distR="0" wp14:anchorId="0E8096FD" wp14:editId="3CAE64DB">
            <wp:extent cx="6486525" cy="4305300"/>
            <wp:effectExtent l="0" t="0" r="0" b="0"/>
            <wp:docPr id="470641413" name="drawing" descr="Euler diagram showing overlap of WHD eligibility with poverty, disability, and age. Of the 6.1 million fuel-poor households, only about 33% (1.2 million) are eligible for WHD, while 67% (2.5 million) are excluded. Most excluded households are low-income, disabled, and/or older, often overlapping. This demonstrates that WHD reaches fewer fuel-poor households than it misses, even after recent eligibility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41413" name="drawing" descr="Euler diagram showing overlap of WHD eligibility with poverty, disability, and age. Of the 6.1 million fuel-poor households, only about 33% (1.2 million) are eligible for WHD, while 67% (2.5 million) are excluded. Most excluded households are low-income, disabled, and/or older, often overlapping. This demonstrates that WHD reaches fewer fuel-poor households than it misses, even after recent eligibility expansion."/>
                    <pic:cNvPicPr/>
                  </pic:nvPicPr>
                  <pic:blipFill>
                    <a:blip r:embed="rId26">
                      <a:extLst>
                        <a:ext uri="{28A0092B-C50C-407E-A947-70E740481C1C}">
                          <a14:useLocalDpi xmlns:a14="http://schemas.microsoft.com/office/drawing/2010/main" val="0"/>
                        </a:ext>
                      </a:extLst>
                    </a:blip>
                    <a:stretch>
                      <a:fillRect/>
                    </a:stretch>
                  </pic:blipFill>
                  <pic:spPr>
                    <a:xfrm>
                      <a:off x="0" y="0"/>
                      <a:ext cx="6486525" cy="4305300"/>
                    </a:xfrm>
                    <a:prstGeom prst="rect">
                      <a:avLst/>
                    </a:prstGeom>
                  </pic:spPr>
                </pic:pic>
              </a:graphicData>
            </a:graphic>
          </wp:inline>
        </w:drawing>
      </w:r>
    </w:p>
    <w:p w14:paraId="4D1A4302" w14:textId="77777777" w:rsidR="001A5E58" w:rsidRPr="00344BBB" w:rsidRDefault="71E812B3" w:rsidP="3C85173F">
      <w:pPr>
        <w:spacing w:before="200" w:after="120" w:line="348" w:lineRule="auto"/>
        <w:rPr>
          <w:sz w:val="24"/>
          <w:szCs w:val="24"/>
        </w:rPr>
      </w:pPr>
      <w:r w:rsidRPr="00344BBB">
        <w:rPr>
          <w:sz w:val="24"/>
          <w:szCs w:val="24"/>
        </w:rPr>
        <w:t xml:space="preserve">Source: Public First analysis of Living Cost and Food Survey (2022/23) </w:t>
      </w:r>
    </w:p>
    <w:p w14:paraId="03897A46" w14:textId="77777777" w:rsidR="001A5E58" w:rsidRPr="00344BBB" w:rsidRDefault="367B7873">
      <w:pPr>
        <w:spacing w:before="200" w:after="120" w:line="348" w:lineRule="auto"/>
        <w:rPr>
          <w:sz w:val="24"/>
          <w:szCs w:val="24"/>
        </w:rPr>
      </w:pPr>
      <w:r w:rsidRPr="00344BBB">
        <w:rPr>
          <w:sz w:val="24"/>
          <w:szCs w:val="24"/>
        </w:rPr>
        <w:lastRenderedPageBreak/>
        <w:t>Note: Poverty is defined as below 60% of the median equivalised household income after housing costs.</w:t>
      </w:r>
    </w:p>
    <w:p w14:paraId="23DDB0D0" w14:textId="7A98DDB8" w:rsidR="3C85173F" w:rsidRDefault="3C85173F" w:rsidP="3C85173F">
      <w:pPr>
        <w:spacing w:before="200" w:after="120" w:line="348" w:lineRule="auto"/>
        <w:rPr>
          <w:sz w:val="28"/>
          <w:szCs w:val="28"/>
        </w:rPr>
      </w:pPr>
    </w:p>
    <w:p w14:paraId="200F558A" w14:textId="63959D06" w:rsidR="001A5E58" w:rsidRDefault="3299063D" w:rsidP="1A6DFC8B">
      <w:pPr>
        <w:spacing w:before="200" w:after="120"/>
        <w:rPr>
          <w:i/>
          <w:iCs/>
          <w:sz w:val="26"/>
          <w:szCs w:val="26"/>
        </w:rPr>
      </w:pPr>
      <w:r>
        <w:rPr>
          <w:sz w:val="28"/>
          <w:szCs w:val="28"/>
        </w:rPr>
        <w:t xml:space="preserve">The depth of support provided by WHD is also </w:t>
      </w:r>
      <w:r w:rsidR="74A144E0">
        <w:rPr>
          <w:sz w:val="28"/>
          <w:szCs w:val="28"/>
        </w:rPr>
        <w:t>currently insufficient</w:t>
      </w:r>
      <w:r w:rsidR="0650B98C">
        <w:rPr>
          <w:sz w:val="28"/>
          <w:szCs w:val="28"/>
        </w:rPr>
        <w:t xml:space="preserve"> to meet the affordability crisis. The</w:t>
      </w:r>
      <w:r>
        <w:rPr>
          <w:sz w:val="28"/>
          <w:szCs w:val="28"/>
        </w:rPr>
        <w:t xml:space="preserve"> £150 rebate fall</w:t>
      </w:r>
      <w:r w:rsidR="572D3E6B">
        <w:rPr>
          <w:sz w:val="28"/>
          <w:szCs w:val="28"/>
        </w:rPr>
        <w:t xml:space="preserve">s </w:t>
      </w:r>
      <w:r>
        <w:rPr>
          <w:sz w:val="28"/>
          <w:szCs w:val="28"/>
        </w:rPr>
        <w:t xml:space="preserve">far short of the average fuel poverty gap, </w:t>
      </w:r>
      <w:r w:rsidR="58423E3B">
        <w:rPr>
          <w:sz w:val="28"/>
          <w:szCs w:val="28"/>
        </w:rPr>
        <w:t xml:space="preserve">which </w:t>
      </w:r>
      <w:r>
        <w:rPr>
          <w:sz w:val="28"/>
          <w:szCs w:val="28"/>
        </w:rPr>
        <w:t xml:space="preserve">now </w:t>
      </w:r>
      <w:r w:rsidR="3977395A">
        <w:rPr>
          <w:sz w:val="28"/>
          <w:szCs w:val="28"/>
        </w:rPr>
        <w:t xml:space="preserve">stands </w:t>
      </w:r>
      <w:r>
        <w:rPr>
          <w:sz w:val="28"/>
          <w:szCs w:val="28"/>
        </w:rPr>
        <w:t>over £400.</w:t>
      </w:r>
      <w:r w:rsidR="00F84F72">
        <w:rPr>
          <w:sz w:val="28"/>
          <w:szCs w:val="28"/>
          <w:vertAlign w:val="superscript"/>
        </w:rPr>
        <w:footnoteReference w:id="19"/>
      </w:r>
      <w:r>
        <w:rPr>
          <w:sz w:val="28"/>
          <w:szCs w:val="28"/>
        </w:rPr>
        <w:t xml:space="preserve"> Public First analysis suggests that, while the expanded WHD would benefit more fuel-poor households, fewer than 5% of the estimated 6.1 million beneficiaries would be lifted out of fuel poverty as a result of the payment.</w:t>
      </w:r>
      <w:r w:rsidR="7B5D159B">
        <w:rPr>
          <w:sz w:val="28"/>
          <w:szCs w:val="28"/>
        </w:rPr>
        <w:t xml:space="preserve"> As well as this, the £150 value has not been uprated in line with inflation or energy bill increases since its introduction. </w:t>
      </w:r>
      <w:r w:rsidR="7C9ACC17">
        <w:rPr>
          <w:sz w:val="28"/>
          <w:szCs w:val="28"/>
        </w:rPr>
        <w:t>Recent energy cost forecasts</w:t>
      </w:r>
      <w:r w:rsidR="6DCB13E4">
        <w:rPr>
          <w:sz w:val="28"/>
          <w:szCs w:val="28"/>
        </w:rPr>
        <w:t xml:space="preserve"> indicate that energy </w:t>
      </w:r>
      <w:r w:rsidR="5A3EF23C" w:rsidRPr="3C85173F">
        <w:rPr>
          <w:sz w:val="28"/>
          <w:szCs w:val="28"/>
        </w:rPr>
        <w:t xml:space="preserve">bills </w:t>
      </w:r>
      <w:r w:rsidR="6DCB13E4">
        <w:rPr>
          <w:sz w:val="28"/>
          <w:szCs w:val="28"/>
        </w:rPr>
        <w:t xml:space="preserve">will </w:t>
      </w:r>
      <w:r w:rsidR="285770C2" w:rsidRPr="3C85173F">
        <w:rPr>
          <w:sz w:val="28"/>
          <w:szCs w:val="28"/>
        </w:rPr>
        <w:t xml:space="preserve">likely increase over the rest of the decade. </w:t>
      </w:r>
      <w:r w:rsidR="7A4993D3" w:rsidRPr="3C85173F">
        <w:rPr>
          <w:sz w:val="28"/>
          <w:szCs w:val="28"/>
        </w:rPr>
        <w:t>As such, the current level of support provided will become less effective, unless aligned more closely with prices</w:t>
      </w:r>
      <w:r w:rsidR="5132E6F3" w:rsidRPr="3C85173F">
        <w:rPr>
          <w:sz w:val="28"/>
          <w:szCs w:val="28"/>
        </w:rPr>
        <w:t>.</w:t>
      </w:r>
    </w:p>
    <w:p w14:paraId="441424D7" w14:textId="77777777" w:rsidR="001A5E58" w:rsidRDefault="001A5E58" w:rsidP="3C85173F">
      <w:pPr>
        <w:rPr>
          <w:sz w:val="28"/>
          <w:szCs w:val="28"/>
          <w:highlight w:val="yellow"/>
        </w:rPr>
      </w:pPr>
    </w:p>
    <w:p w14:paraId="53D6305C" w14:textId="77777777" w:rsidR="001A5E58" w:rsidRPr="00362D16" w:rsidRDefault="497E5335" w:rsidP="00362D16">
      <w:pPr>
        <w:pStyle w:val="Heading3"/>
        <w:rPr>
          <w:color w:val="3275C8"/>
          <w:sz w:val="32"/>
          <w:szCs w:val="32"/>
          <w:highlight w:val="yellow"/>
        </w:rPr>
      </w:pPr>
      <w:bookmarkStart w:id="13" w:name="_acwts6niaq0r"/>
      <w:bookmarkEnd w:id="13"/>
      <w:r w:rsidRPr="00362D16">
        <w:rPr>
          <w:color w:val="3275C8"/>
          <w:sz w:val="32"/>
          <w:szCs w:val="32"/>
        </w:rPr>
        <w:t>Winter Fuel Payment (WFP)</w:t>
      </w:r>
    </w:p>
    <w:p w14:paraId="67F3083D" w14:textId="00BB783B" w:rsidR="001A5E58" w:rsidRDefault="71E812B3">
      <w:pPr>
        <w:rPr>
          <w:sz w:val="28"/>
          <w:szCs w:val="28"/>
        </w:rPr>
      </w:pPr>
      <w:r>
        <w:rPr>
          <w:sz w:val="28"/>
          <w:szCs w:val="28"/>
        </w:rPr>
        <w:t xml:space="preserve">In some respects, the Winter Fuel Payment (WFP) </w:t>
      </w:r>
      <w:r w:rsidR="00790237">
        <w:rPr>
          <w:sz w:val="28"/>
          <w:szCs w:val="28"/>
        </w:rPr>
        <w:t xml:space="preserve">in England and Wales </w:t>
      </w:r>
      <w:r>
        <w:rPr>
          <w:sz w:val="28"/>
          <w:szCs w:val="28"/>
        </w:rPr>
        <w:t xml:space="preserve">can be viewed as a form of targeted bill support, though one that is </w:t>
      </w:r>
      <w:r w:rsidR="70711625">
        <w:rPr>
          <w:sz w:val="28"/>
          <w:szCs w:val="28"/>
        </w:rPr>
        <w:t xml:space="preserve">less effective at tackling fuel poverty, as it is not delivered through direct bill reductions. </w:t>
      </w:r>
      <w:r>
        <w:rPr>
          <w:sz w:val="28"/>
          <w:szCs w:val="28"/>
        </w:rPr>
        <w:t>Before 2024, the WFP provided all people claiming the State Pension with an annual tax-free lump sum payment of between £100 and £300. Unlike the WHD, the WFP is not applied directly to energy bills but is instead provided as income support for pensioners to use at their discretion. In 2024, facing fiscal pressure to reduce the public deficit, the Labour government reduced WFP eligibility to low-income pensioners (</w:t>
      </w:r>
      <w:proofErr w:type="spellStart"/>
      <w:r>
        <w:rPr>
          <w:sz w:val="28"/>
          <w:szCs w:val="28"/>
        </w:rPr>
        <w:t>ie</w:t>
      </w:r>
      <w:proofErr w:type="spellEnd"/>
      <w:r>
        <w:rPr>
          <w:sz w:val="28"/>
          <w:szCs w:val="28"/>
        </w:rPr>
        <w:t>, those claiming means-tested benefits and Pension Credit). As a result of this policy change, the number of WFP recipients fell by almost 90%, to 1.3 million, saving the government around £1.5 billion per year.</w:t>
      </w:r>
      <w:r w:rsidR="00F84F72">
        <w:rPr>
          <w:sz w:val="28"/>
          <w:szCs w:val="28"/>
          <w:vertAlign w:val="superscript"/>
        </w:rPr>
        <w:footnoteReference w:id="20"/>
      </w:r>
      <w:r>
        <w:rPr>
          <w:sz w:val="28"/>
          <w:szCs w:val="28"/>
        </w:rPr>
        <w:t xml:space="preserve"> Evidence suggests that this cut would push 50,000 pensioners into relative fuel poverty.</w:t>
      </w:r>
      <w:r w:rsidR="00F84F72">
        <w:rPr>
          <w:sz w:val="28"/>
          <w:szCs w:val="28"/>
          <w:vertAlign w:val="superscript"/>
        </w:rPr>
        <w:footnoteReference w:id="21"/>
      </w:r>
      <w:r>
        <w:rPr>
          <w:sz w:val="28"/>
          <w:szCs w:val="28"/>
        </w:rPr>
        <w:t xml:space="preserve"> Following much public debate, in June 2025, the government increased the eligibility to include pensioners with a taxable income of below £35,000. </w:t>
      </w:r>
      <w:r w:rsidR="049F61B8">
        <w:rPr>
          <w:sz w:val="28"/>
          <w:szCs w:val="28"/>
        </w:rPr>
        <w:t xml:space="preserve">While stakeholders support the increase of support for many low-income older households, the government’s </w:t>
      </w:r>
      <w:r w:rsidR="12E038C9">
        <w:rPr>
          <w:sz w:val="28"/>
          <w:szCs w:val="28"/>
        </w:rPr>
        <w:t>U</w:t>
      </w:r>
      <w:r w:rsidR="049F61B8">
        <w:rPr>
          <w:sz w:val="28"/>
          <w:szCs w:val="28"/>
        </w:rPr>
        <w:t>-turn highlights the political and practical difficulties in targeting support effectively.</w:t>
      </w:r>
    </w:p>
    <w:p w14:paraId="2CC580AF" w14:textId="77777777" w:rsidR="001A5E58" w:rsidRDefault="001A5E58">
      <w:pPr>
        <w:rPr>
          <w:sz w:val="28"/>
          <w:szCs w:val="28"/>
        </w:rPr>
      </w:pPr>
    </w:p>
    <w:p w14:paraId="2FE69583" w14:textId="0ADABA2A" w:rsidR="001A5E58" w:rsidRPr="00362D16" w:rsidRDefault="3146891D" w:rsidP="00362D16">
      <w:pPr>
        <w:pStyle w:val="Heading3"/>
        <w:rPr>
          <w:color w:val="3275C8"/>
          <w:sz w:val="32"/>
          <w:szCs w:val="32"/>
        </w:rPr>
      </w:pPr>
      <w:bookmarkStart w:id="14" w:name="_76roro5o36gv"/>
      <w:bookmarkEnd w:id="14"/>
      <w:r w:rsidRPr="00362D16">
        <w:rPr>
          <w:color w:val="3275C8"/>
          <w:sz w:val="32"/>
          <w:szCs w:val="32"/>
        </w:rPr>
        <w:lastRenderedPageBreak/>
        <w:t>An improved system of t</w:t>
      </w:r>
      <w:r w:rsidR="3299063D" w:rsidRPr="00362D16">
        <w:rPr>
          <w:color w:val="3275C8"/>
          <w:sz w:val="32"/>
          <w:szCs w:val="32"/>
        </w:rPr>
        <w:t xml:space="preserve">argeted bill support reform is required </w:t>
      </w:r>
      <w:r w:rsidR="1F65523D" w:rsidRPr="00362D16">
        <w:rPr>
          <w:color w:val="3275C8"/>
          <w:sz w:val="32"/>
          <w:szCs w:val="32"/>
        </w:rPr>
        <w:t>from</w:t>
      </w:r>
      <w:r w:rsidR="3299063D" w:rsidRPr="00362D16">
        <w:rPr>
          <w:color w:val="3275C8"/>
          <w:sz w:val="32"/>
          <w:szCs w:val="32"/>
        </w:rPr>
        <w:t xml:space="preserve"> </w:t>
      </w:r>
      <w:r w:rsidR="10512C4C" w:rsidRPr="00362D16">
        <w:rPr>
          <w:color w:val="3275C8"/>
          <w:sz w:val="32"/>
          <w:szCs w:val="32"/>
        </w:rPr>
        <w:t>April 2026</w:t>
      </w:r>
      <w:r w:rsidR="3299063D" w:rsidRPr="00362D16">
        <w:rPr>
          <w:color w:val="3275C8"/>
          <w:sz w:val="32"/>
          <w:szCs w:val="32"/>
        </w:rPr>
        <w:t>.</w:t>
      </w:r>
    </w:p>
    <w:p w14:paraId="6F3E0CA0" w14:textId="24B6C43D" w:rsidR="001A5E58" w:rsidRDefault="54592FF0" w:rsidP="3C85173F">
      <w:pPr>
        <w:spacing w:line="259" w:lineRule="auto"/>
        <w:rPr>
          <w:sz w:val="28"/>
          <w:szCs w:val="28"/>
        </w:rPr>
      </w:pPr>
      <w:r>
        <w:rPr>
          <w:sz w:val="28"/>
          <w:szCs w:val="28"/>
        </w:rPr>
        <w:t xml:space="preserve">The government </w:t>
      </w:r>
      <w:r w:rsidR="664AE365">
        <w:rPr>
          <w:sz w:val="28"/>
          <w:szCs w:val="28"/>
        </w:rPr>
        <w:t xml:space="preserve">lacks a clear strategy for supporting vulnerable customers with energy affordability beyond April 2026. </w:t>
      </w:r>
      <w:r w:rsidR="367B7873">
        <w:rPr>
          <w:sz w:val="28"/>
          <w:szCs w:val="28"/>
        </w:rPr>
        <w:t>Authors of this report also published analysis and recommendations on the design of targeted bill support in March 2023 to provide sufficient support to households outside of the welfare system without the need for costly, universal interventions.</w:t>
      </w:r>
      <w:r w:rsidR="00F84F72">
        <w:rPr>
          <w:sz w:val="28"/>
          <w:szCs w:val="28"/>
          <w:vertAlign w:val="superscript"/>
        </w:rPr>
        <w:footnoteReference w:id="22"/>
      </w:r>
      <w:r w:rsidR="367B7873">
        <w:rPr>
          <w:sz w:val="28"/>
          <w:szCs w:val="28"/>
        </w:rPr>
        <w:t xml:space="preserve"> Following this, in 2024, the National Audit Office’s review of energy bills support found that while the government responded quickly and successfully to protect households during the crisis, ensuring that potential future interventions maximised value for money was still at an early stage of development.</w:t>
      </w:r>
      <w:r w:rsidR="00F84F72">
        <w:rPr>
          <w:sz w:val="28"/>
          <w:szCs w:val="28"/>
          <w:vertAlign w:val="superscript"/>
        </w:rPr>
        <w:footnoteReference w:id="23"/>
      </w:r>
      <w:r w:rsidR="367B7873">
        <w:rPr>
          <w:sz w:val="28"/>
          <w:szCs w:val="28"/>
        </w:rPr>
        <w:t xml:space="preserve"> Since then, limited progress has been made beyond recent changes to WHD eligibility</w:t>
      </w:r>
      <w:r w:rsidR="1EE2E716">
        <w:rPr>
          <w:sz w:val="28"/>
          <w:szCs w:val="28"/>
        </w:rPr>
        <w:t xml:space="preserve">. While these changes are welcome, as they provide support to a greater number of households, </w:t>
      </w:r>
      <w:r w:rsidR="1EE2E716" w:rsidRPr="3C85173F">
        <w:rPr>
          <w:sz w:val="28"/>
          <w:szCs w:val="28"/>
        </w:rPr>
        <w:t>even in its expanded form, the WHD</w:t>
      </w:r>
      <w:r w:rsidR="367B7873">
        <w:rPr>
          <w:sz w:val="28"/>
          <w:szCs w:val="28"/>
        </w:rPr>
        <w:t xml:space="preserve"> </w:t>
      </w:r>
      <w:r w:rsidR="23B9B5FB" w:rsidRPr="3C85173F">
        <w:rPr>
          <w:sz w:val="28"/>
          <w:szCs w:val="28"/>
        </w:rPr>
        <w:t xml:space="preserve">neglects </w:t>
      </w:r>
      <w:r w:rsidR="367B7873">
        <w:rPr>
          <w:sz w:val="28"/>
          <w:szCs w:val="28"/>
        </w:rPr>
        <w:t>the majority of fuel poor households</w:t>
      </w:r>
      <w:r w:rsidR="66D3CA39">
        <w:rPr>
          <w:sz w:val="28"/>
          <w:szCs w:val="28"/>
        </w:rPr>
        <w:t>, including those on disability benefits and those</w:t>
      </w:r>
      <w:r w:rsidR="367B7873">
        <w:rPr>
          <w:sz w:val="28"/>
          <w:szCs w:val="28"/>
        </w:rPr>
        <w:t xml:space="preserve"> outside of the welfare system. </w:t>
      </w:r>
    </w:p>
    <w:p w14:paraId="60DFB509" w14:textId="20CE5316" w:rsidR="001A5E58" w:rsidRDefault="1C65DAD9" w:rsidP="3C85173F">
      <w:pPr>
        <w:spacing w:line="259" w:lineRule="auto"/>
        <w:rPr>
          <w:sz w:val="28"/>
          <w:szCs w:val="28"/>
        </w:rPr>
      </w:pPr>
      <w:r w:rsidRPr="3C85173F">
        <w:rPr>
          <w:sz w:val="28"/>
          <w:szCs w:val="28"/>
        </w:rPr>
        <w:t xml:space="preserve">This report explores options for improving </w:t>
      </w:r>
      <w:r w:rsidR="6F581D17" w:rsidRPr="3C85173F">
        <w:rPr>
          <w:sz w:val="28"/>
          <w:szCs w:val="28"/>
        </w:rPr>
        <w:t xml:space="preserve">a </w:t>
      </w:r>
      <w:r w:rsidRPr="3C85173F">
        <w:rPr>
          <w:sz w:val="28"/>
          <w:szCs w:val="28"/>
        </w:rPr>
        <w:t xml:space="preserve">targeted bill support </w:t>
      </w:r>
      <w:r w:rsidR="039A8BC5" w:rsidRPr="3C85173F">
        <w:rPr>
          <w:sz w:val="28"/>
          <w:szCs w:val="28"/>
        </w:rPr>
        <w:t xml:space="preserve">mechanism </w:t>
      </w:r>
      <w:r w:rsidRPr="3C85173F">
        <w:rPr>
          <w:sz w:val="28"/>
          <w:szCs w:val="28"/>
        </w:rPr>
        <w:t xml:space="preserve">beyond April 2026 to </w:t>
      </w:r>
      <w:r w:rsidR="35084DDC" w:rsidRPr="3C85173F">
        <w:rPr>
          <w:sz w:val="28"/>
          <w:szCs w:val="28"/>
        </w:rPr>
        <w:t xml:space="preserve">support vulnerable customers, reduce affordability concerns and tackle fuel poverty </w:t>
      </w:r>
      <w:r w:rsidR="4A6A404E" w:rsidRPr="3C85173F">
        <w:rPr>
          <w:sz w:val="28"/>
          <w:szCs w:val="28"/>
        </w:rPr>
        <w:t>beyond the welfare system.</w:t>
      </w:r>
    </w:p>
    <w:p w14:paraId="3D8FB259" w14:textId="77777777" w:rsidR="001A5E58" w:rsidRDefault="00F84F72">
      <w:pPr>
        <w:rPr>
          <w:sz w:val="26"/>
          <w:szCs w:val="26"/>
          <w:highlight w:val="cyan"/>
        </w:rPr>
      </w:pPr>
      <w:r>
        <w:br w:type="page"/>
      </w:r>
    </w:p>
    <w:p w14:paraId="4CB9DC91" w14:textId="77777777" w:rsidR="001A5E58" w:rsidRDefault="00F84F72">
      <w:pPr>
        <w:pStyle w:val="Heading1"/>
        <w:ind w:left="0" w:firstLine="0"/>
      </w:pPr>
      <w:bookmarkStart w:id="15" w:name="_Toc202861064"/>
      <w:r>
        <w:lastRenderedPageBreak/>
        <w:t>02 Method of targeted bill support</w:t>
      </w:r>
      <w:bookmarkEnd w:id="15"/>
    </w:p>
    <w:p w14:paraId="114F9785" w14:textId="77777777" w:rsidR="001A5E58" w:rsidRDefault="1536D120">
      <w:r w:rsidRPr="7E2D8D79">
        <w:rPr>
          <w:sz w:val="28"/>
          <w:szCs w:val="28"/>
        </w:rPr>
        <w:t>This study initially examined three primary methods of targeted bill support that are most commonly debated and of interest to the government. These included:</w:t>
      </w:r>
    </w:p>
    <w:p w14:paraId="357491EC" w14:textId="65E4451D" w:rsidR="001A5E58" w:rsidRDefault="367B7873" w:rsidP="3C85173F">
      <w:pPr>
        <w:numPr>
          <w:ilvl w:val="0"/>
          <w:numId w:val="22"/>
        </w:numPr>
        <w:rPr>
          <w:sz w:val="28"/>
          <w:szCs w:val="28"/>
        </w:rPr>
      </w:pPr>
      <w:r w:rsidRPr="3C85173F">
        <w:rPr>
          <w:b/>
          <w:bCs/>
          <w:sz w:val="28"/>
          <w:szCs w:val="28"/>
        </w:rPr>
        <w:t xml:space="preserve">Unit-rate discount </w:t>
      </w:r>
      <w:r w:rsidRPr="3C85173F">
        <w:rPr>
          <w:sz w:val="28"/>
          <w:szCs w:val="28"/>
        </w:rPr>
        <w:t xml:space="preserve">deducts a </w:t>
      </w:r>
      <w:r w:rsidR="2CAC85AE" w:rsidRPr="3C85173F">
        <w:rPr>
          <w:sz w:val="28"/>
          <w:szCs w:val="28"/>
        </w:rPr>
        <w:t xml:space="preserve">fixed amount or </w:t>
      </w:r>
      <w:r w:rsidRPr="3C85173F">
        <w:rPr>
          <w:sz w:val="28"/>
          <w:szCs w:val="28"/>
        </w:rPr>
        <w:t>percentage from the per kilowatt-hour price that a household pays for its energ</w:t>
      </w:r>
      <w:r w:rsidR="46FFD12D" w:rsidRPr="3C85173F">
        <w:rPr>
          <w:sz w:val="28"/>
          <w:szCs w:val="28"/>
        </w:rPr>
        <w:t xml:space="preserve">y, </w:t>
      </w:r>
      <w:r w:rsidRPr="3C85173F">
        <w:rPr>
          <w:sz w:val="28"/>
          <w:szCs w:val="28"/>
        </w:rPr>
        <w:t xml:space="preserve">meaning </w:t>
      </w:r>
      <w:r w:rsidR="6698A68A" w:rsidRPr="3C85173F">
        <w:rPr>
          <w:sz w:val="28"/>
          <w:szCs w:val="28"/>
        </w:rPr>
        <w:t xml:space="preserve">that </w:t>
      </w:r>
      <w:r w:rsidRPr="3C85173F">
        <w:rPr>
          <w:sz w:val="28"/>
          <w:szCs w:val="28"/>
        </w:rPr>
        <w:t>each unit of consumption is cheaper.</w:t>
      </w:r>
      <w:r w:rsidR="1C98537F" w:rsidRPr="3C85173F">
        <w:rPr>
          <w:sz w:val="28"/>
          <w:szCs w:val="28"/>
        </w:rPr>
        <w:t xml:space="preserve"> This report models a percentage discount per unit rate.</w:t>
      </w:r>
      <w:r w:rsidRPr="3C85173F">
        <w:rPr>
          <w:sz w:val="28"/>
          <w:szCs w:val="28"/>
        </w:rPr>
        <w:t xml:space="preserve"> This discount could be inclusive or exclusive of standing charges</w:t>
      </w:r>
      <w:r w:rsidR="59FAFB4B" w:rsidRPr="3C85173F">
        <w:rPr>
          <w:sz w:val="28"/>
          <w:szCs w:val="28"/>
        </w:rPr>
        <w:t xml:space="preserve"> – our analysis models both. </w:t>
      </w:r>
    </w:p>
    <w:p w14:paraId="540EE4F2" w14:textId="69A38CC7" w:rsidR="001A5E58" w:rsidRDefault="367B7873" w:rsidP="3C85173F">
      <w:pPr>
        <w:numPr>
          <w:ilvl w:val="0"/>
          <w:numId w:val="22"/>
        </w:numPr>
        <w:rPr>
          <w:sz w:val="28"/>
          <w:szCs w:val="28"/>
        </w:rPr>
      </w:pPr>
      <w:r w:rsidRPr="3C85173F">
        <w:rPr>
          <w:b/>
          <w:bCs/>
          <w:sz w:val="28"/>
          <w:szCs w:val="28"/>
        </w:rPr>
        <w:t>Payment-based discount</w:t>
      </w:r>
      <w:r w:rsidRPr="3C85173F">
        <w:rPr>
          <w:sz w:val="28"/>
          <w:szCs w:val="28"/>
        </w:rPr>
        <w:t xml:space="preserve"> provides a </w:t>
      </w:r>
      <w:r w:rsidR="1BF8FF0B" w:rsidRPr="3C85173F">
        <w:rPr>
          <w:sz w:val="28"/>
          <w:szCs w:val="28"/>
        </w:rPr>
        <w:t xml:space="preserve">rebate </w:t>
      </w:r>
      <w:r w:rsidRPr="3C85173F">
        <w:rPr>
          <w:sz w:val="28"/>
          <w:szCs w:val="28"/>
        </w:rPr>
        <w:t xml:space="preserve">deduction </w:t>
      </w:r>
      <w:r w:rsidR="4725C275" w:rsidRPr="3C85173F">
        <w:rPr>
          <w:sz w:val="28"/>
          <w:szCs w:val="28"/>
        </w:rPr>
        <w:t>on energy</w:t>
      </w:r>
      <w:r w:rsidRPr="3C85173F">
        <w:rPr>
          <w:sz w:val="28"/>
          <w:szCs w:val="28"/>
        </w:rPr>
        <w:t xml:space="preserve"> bill</w:t>
      </w:r>
      <w:r w:rsidR="6DE3C525" w:rsidRPr="3C85173F">
        <w:rPr>
          <w:sz w:val="28"/>
          <w:szCs w:val="28"/>
        </w:rPr>
        <w:t>s</w:t>
      </w:r>
      <w:r w:rsidR="2B41AAB3" w:rsidRPr="3C85173F">
        <w:rPr>
          <w:sz w:val="28"/>
          <w:szCs w:val="28"/>
        </w:rPr>
        <w:t xml:space="preserve"> of either a fixed amount or in line with the household’s energy usage or income. </w:t>
      </w:r>
      <w:r w:rsidR="07E3E557" w:rsidRPr="3C85173F">
        <w:rPr>
          <w:sz w:val="28"/>
          <w:szCs w:val="28"/>
        </w:rPr>
        <w:t>This report models a fixed and tiered payment discount.</w:t>
      </w:r>
    </w:p>
    <w:p w14:paraId="5A720C6D" w14:textId="77777777" w:rsidR="001A5E58" w:rsidRDefault="00F84F72">
      <w:pPr>
        <w:numPr>
          <w:ilvl w:val="0"/>
          <w:numId w:val="22"/>
        </w:numPr>
        <w:rPr>
          <w:b/>
          <w:sz w:val="28"/>
          <w:szCs w:val="28"/>
        </w:rPr>
      </w:pPr>
      <w:r>
        <w:rPr>
          <w:b/>
          <w:sz w:val="28"/>
          <w:szCs w:val="28"/>
        </w:rPr>
        <w:t>Rising block tariff</w:t>
      </w:r>
      <w:r>
        <w:rPr>
          <w:sz w:val="28"/>
          <w:szCs w:val="28"/>
        </w:rPr>
        <w:t xml:space="preserve"> charges households a lower rate for initial units of consumption and higher rates as usage increases, providing more support to households with low energy needs.</w:t>
      </w:r>
    </w:p>
    <w:p w14:paraId="64539CBE" w14:textId="77777777" w:rsidR="001A5E58" w:rsidRDefault="00F84F72">
      <w:pPr>
        <w:rPr>
          <w:sz w:val="28"/>
          <w:szCs w:val="28"/>
        </w:rPr>
      </w:pPr>
      <w:r>
        <w:rPr>
          <w:sz w:val="28"/>
          <w:szCs w:val="28"/>
        </w:rPr>
        <w:t>Public First used mixed methods of economic modelling, literature review and expert interviews to assess the effectiveness and viability of each method. Key findings on the method of targeted bill support include:</w:t>
      </w:r>
    </w:p>
    <w:p w14:paraId="76B11B7B" w14:textId="2ADC10CE" w:rsidR="001A5E58" w:rsidRDefault="5A4A5C02" w:rsidP="1A6DFC8B">
      <w:pPr>
        <w:numPr>
          <w:ilvl w:val="0"/>
          <w:numId w:val="31"/>
        </w:numPr>
        <w:rPr>
          <w:sz w:val="28"/>
          <w:szCs w:val="28"/>
        </w:rPr>
      </w:pPr>
      <w:r w:rsidRPr="1A6DFC8B">
        <w:rPr>
          <w:b/>
          <w:bCs/>
          <w:sz w:val="28"/>
          <w:szCs w:val="28"/>
        </w:rPr>
        <w:t xml:space="preserve">A rising block tariff generates significant bill increases for “policy losers”. </w:t>
      </w:r>
      <w:r w:rsidRPr="1A6DFC8B">
        <w:rPr>
          <w:sz w:val="28"/>
          <w:szCs w:val="28"/>
        </w:rPr>
        <w:t>Around 10 million households would see their energy bills increase by an average of £3</w:t>
      </w:r>
      <w:r w:rsidR="36F95FEC" w:rsidRPr="1A6DFC8B">
        <w:rPr>
          <w:sz w:val="28"/>
          <w:szCs w:val="28"/>
        </w:rPr>
        <w:t>81</w:t>
      </w:r>
      <w:r w:rsidRPr="1A6DFC8B">
        <w:rPr>
          <w:sz w:val="28"/>
          <w:szCs w:val="28"/>
        </w:rPr>
        <w:t xml:space="preserve"> a year, while around 19 million households’ bills would decrease by an average of £20</w:t>
      </w:r>
      <w:r w:rsidR="34DDF7F0" w:rsidRPr="1A6DFC8B">
        <w:rPr>
          <w:sz w:val="28"/>
          <w:szCs w:val="28"/>
        </w:rPr>
        <w:t>3</w:t>
      </w:r>
      <w:r w:rsidRPr="1A6DFC8B">
        <w:rPr>
          <w:sz w:val="28"/>
          <w:szCs w:val="28"/>
        </w:rPr>
        <w:t xml:space="preserve"> a year. </w:t>
      </w:r>
    </w:p>
    <w:p w14:paraId="74AC41D6" w14:textId="610337C1" w:rsidR="367B7873" w:rsidRDefault="3299063D" w:rsidP="3C85173F">
      <w:pPr>
        <w:numPr>
          <w:ilvl w:val="0"/>
          <w:numId w:val="31"/>
        </w:numPr>
        <w:rPr>
          <w:sz w:val="28"/>
          <w:szCs w:val="28"/>
        </w:rPr>
      </w:pPr>
      <w:r w:rsidRPr="1A6DFC8B">
        <w:rPr>
          <w:b/>
          <w:bCs/>
          <w:sz w:val="28"/>
          <w:szCs w:val="28"/>
        </w:rPr>
        <w:t xml:space="preserve">A rising block tariff also negatively impacts disadvantaged groups. </w:t>
      </w:r>
      <w:r w:rsidRPr="1A6DFC8B">
        <w:rPr>
          <w:sz w:val="28"/>
          <w:szCs w:val="28"/>
        </w:rPr>
        <w:t xml:space="preserve">Over a third of low-income and disabled households would see their energy bills increase, while the poorest high-energy users could see their bills increase by an average of over £400 a year. </w:t>
      </w:r>
    </w:p>
    <w:p w14:paraId="11A71C87" w14:textId="770887ED" w:rsidR="3C85173F" w:rsidRDefault="3C85173F" w:rsidP="3C85173F">
      <w:pPr>
        <w:rPr>
          <w:sz w:val="28"/>
          <w:szCs w:val="28"/>
        </w:rPr>
      </w:pPr>
    </w:p>
    <w:p w14:paraId="7142894F" w14:textId="4DBF2AC8" w:rsidR="3C85173F" w:rsidRDefault="3C85173F" w:rsidP="3C85173F">
      <w:pPr>
        <w:rPr>
          <w:sz w:val="28"/>
          <w:szCs w:val="28"/>
        </w:rPr>
      </w:pPr>
    </w:p>
    <w:p w14:paraId="37EAD3A1" w14:textId="12371ACA" w:rsidR="001A5E58" w:rsidRDefault="3299063D" w:rsidP="1A6DFC8B">
      <w:pPr>
        <w:numPr>
          <w:ilvl w:val="0"/>
          <w:numId w:val="31"/>
        </w:numPr>
        <w:rPr>
          <w:sz w:val="28"/>
          <w:szCs w:val="28"/>
        </w:rPr>
      </w:pPr>
      <w:r w:rsidRPr="1A6DFC8B">
        <w:rPr>
          <w:b/>
          <w:bCs/>
          <w:sz w:val="28"/>
          <w:szCs w:val="28"/>
        </w:rPr>
        <w:t xml:space="preserve">A payment-based discount is more cost-effective than unit rate discounts in terms of reducing the share of households in fuel poverty. </w:t>
      </w:r>
      <w:r w:rsidRPr="1A6DFC8B">
        <w:rPr>
          <w:sz w:val="28"/>
          <w:szCs w:val="28"/>
        </w:rPr>
        <w:t>While unit rate discounts provide a deeper level of support than fixed payments, wealthier WHD-eligible groups benefit from this depth more so than poorer or disabled households. A payment-based model delivers effective results with better value for money per household brought out of fuel poverty (£4,</w:t>
      </w:r>
      <w:r w:rsidR="64C37552" w:rsidRPr="1A6DFC8B">
        <w:rPr>
          <w:sz w:val="28"/>
          <w:szCs w:val="28"/>
        </w:rPr>
        <w:t>182</w:t>
      </w:r>
      <w:r w:rsidRPr="1A6DFC8B">
        <w:rPr>
          <w:sz w:val="28"/>
          <w:szCs w:val="28"/>
        </w:rPr>
        <w:t xml:space="preserve"> per household) than a unit rate discount, inclusive (£4,</w:t>
      </w:r>
      <w:r w:rsidR="31A77480" w:rsidRPr="1A6DFC8B">
        <w:rPr>
          <w:sz w:val="28"/>
          <w:szCs w:val="28"/>
        </w:rPr>
        <w:t>400</w:t>
      </w:r>
      <w:r w:rsidRPr="1A6DFC8B">
        <w:rPr>
          <w:sz w:val="28"/>
          <w:szCs w:val="28"/>
        </w:rPr>
        <w:t>) or exclusive (£4,</w:t>
      </w:r>
      <w:r w:rsidR="2908113A" w:rsidRPr="1A6DFC8B">
        <w:rPr>
          <w:sz w:val="28"/>
          <w:szCs w:val="28"/>
        </w:rPr>
        <w:t>764</w:t>
      </w:r>
      <w:r w:rsidRPr="1A6DFC8B">
        <w:rPr>
          <w:sz w:val="28"/>
          <w:szCs w:val="28"/>
        </w:rPr>
        <w:t>) of standing charges.</w:t>
      </w:r>
    </w:p>
    <w:p w14:paraId="1BC376EB" w14:textId="3B24A864" w:rsidR="676277A8" w:rsidRDefault="676277A8" w:rsidP="3C85173F">
      <w:pPr>
        <w:numPr>
          <w:ilvl w:val="0"/>
          <w:numId w:val="31"/>
        </w:numPr>
        <w:rPr>
          <w:sz w:val="28"/>
          <w:szCs w:val="28"/>
        </w:rPr>
      </w:pPr>
      <w:r w:rsidRPr="3C85173F">
        <w:rPr>
          <w:b/>
          <w:bCs/>
          <w:sz w:val="28"/>
          <w:szCs w:val="28"/>
        </w:rPr>
        <w:t xml:space="preserve">Any model that considers support as a proportion of, or in relation to energy prices, will be more reflective of changing costs. </w:t>
      </w:r>
      <w:r w:rsidRPr="3C85173F">
        <w:rPr>
          <w:sz w:val="28"/>
          <w:szCs w:val="28"/>
        </w:rPr>
        <w:t>Fixed discounts (either as a pence per-kilowatt-hour or as a set payment) risk having perverse outcomes through either providing inadequate support as energy prices increase or less cost-effective support as prices fall. Options for mitigating this are explored in Chapter Three.</w:t>
      </w:r>
    </w:p>
    <w:p w14:paraId="46C58B60" w14:textId="77777777" w:rsidR="001A5E58" w:rsidRDefault="71E812B3">
      <w:pPr>
        <w:numPr>
          <w:ilvl w:val="0"/>
          <w:numId w:val="31"/>
        </w:numPr>
        <w:rPr>
          <w:sz w:val="28"/>
          <w:szCs w:val="28"/>
        </w:rPr>
      </w:pPr>
      <w:r w:rsidRPr="3C85173F">
        <w:rPr>
          <w:b/>
          <w:bCs/>
          <w:sz w:val="28"/>
          <w:szCs w:val="28"/>
        </w:rPr>
        <w:t xml:space="preserve">Additionally, a payment-based discount is easier to implement in an evolving market of dynamic pricing (via Time of Use tariffs) and smart technologies. </w:t>
      </w:r>
      <w:r w:rsidRPr="3C85173F">
        <w:rPr>
          <w:sz w:val="28"/>
          <w:szCs w:val="28"/>
        </w:rPr>
        <w:t xml:space="preserve">A payment discount provides equal support regardless of when electricity is used, offering predictability for households less able to shift demand, such as disabled or older people. It applies to both flat and </w:t>
      </w:r>
      <w:proofErr w:type="spellStart"/>
      <w:r w:rsidRPr="3C85173F">
        <w:rPr>
          <w:sz w:val="28"/>
          <w:szCs w:val="28"/>
        </w:rPr>
        <w:t>ToU</w:t>
      </w:r>
      <w:proofErr w:type="spellEnd"/>
      <w:r w:rsidRPr="3C85173F">
        <w:rPr>
          <w:sz w:val="28"/>
          <w:szCs w:val="28"/>
        </w:rPr>
        <w:t xml:space="preserve"> tariffs, protecting those on flat rates while still benefiting flexible users. In contrast, a unit rate discount rewards flexibility but may disadvantage those who cannot change their usage patterns.</w:t>
      </w:r>
    </w:p>
    <w:p w14:paraId="1A3009DE" w14:textId="3AAF045C" w:rsidR="001A5E58" w:rsidRDefault="71E812B3">
      <w:pPr>
        <w:rPr>
          <w:sz w:val="28"/>
          <w:szCs w:val="28"/>
        </w:rPr>
      </w:pPr>
      <w:r w:rsidRPr="3C85173F">
        <w:rPr>
          <w:sz w:val="28"/>
          <w:szCs w:val="28"/>
        </w:rPr>
        <w:t>Using the expanded W</w:t>
      </w:r>
      <w:r w:rsidR="3DFC8061" w:rsidRPr="3C85173F">
        <w:rPr>
          <w:sz w:val="28"/>
          <w:szCs w:val="28"/>
        </w:rPr>
        <w:t xml:space="preserve">HD </w:t>
      </w:r>
      <w:r w:rsidRPr="3C85173F">
        <w:rPr>
          <w:sz w:val="28"/>
          <w:szCs w:val="28"/>
        </w:rPr>
        <w:t>eligibility as a baseline, we explore the policy costs and benefits of these three models below.</w:t>
      </w:r>
      <w:r w:rsidR="5E77B381" w:rsidRPr="3C85173F">
        <w:rPr>
          <w:sz w:val="28"/>
          <w:szCs w:val="28"/>
        </w:rPr>
        <w:t xml:space="preserve"> </w:t>
      </w:r>
    </w:p>
    <w:p w14:paraId="4F6DB11E" w14:textId="497B128E" w:rsidR="001A5E58" w:rsidRDefault="5E77B381" w:rsidP="7E2D8D79">
      <w:pPr>
        <w:spacing w:before="200" w:after="120"/>
      </w:pPr>
      <w:r w:rsidRPr="3C85173F">
        <w:rPr>
          <w:sz w:val="28"/>
          <w:szCs w:val="28"/>
        </w:rPr>
        <w:t>Policy costs are modelled as the cost of direct financial support on energy bills</w:t>
      </w:r>
      <w:r w:rsidR="7B6DBD8D" w:rsidRPr="3C85173F">
        <w:rPr>
          <w:sz w:val="28"/>
          <w:szCs w:val="28"/>
        </w:rPr>
        <w:t xml:space="preserve">. These costs are not inclusive of the existing WHD budget </w:t>
      </w:r>
      <w:r w:rsidRPr="3C85173F">
        <w:rPr>
          <w:sz w:val="28"/>
          <w:szCs w:val="28"/>
        </w:rPr>
        <w:t xml:space="preserve">and </w:t>
      </w:r>
      <w:r w:rsidR="78666C7D" w:rsidRPr="3C85173F">
        <w:rPr>
          <w:sz w:val="28"/>
          <w:szCs w:val="28"/>
        </w:rPr>
        <w:t xml:space="preserve">also </w:t>
      </w:r>
      <w:r w:rsidRPr="3C85173F">
        <w:rPr>
          <w:sz w:val="28"/>
          <w:szCs w:val="28"/>
        </w:rPr>
        <w:t>do not include</w:t>
      </w:r>
      <w:r w:rsidR="2A068336" w:rsidRPr="3C85173F">
        <w:rPr>
          <w:sz w:val="28"/>
          <w:szCs w:val="28"/>
        </w:rPr>
        <w:t xml:space="preserve"> </w:t>
      </w:r>
      <w:r w:rsidRPr="3C85173F">
        <w:rPr>
          <w:sz w:val="28"/>
          <w:szCs w:val="28"/>
        </w:rPr>
        <w:t>wider industry initiative costs</w:t>
      </w:r>
      <w:r w:rsidR="3483B41C" w:rsidRPr="3C85173F">
        <w:rPr>
          <w:sz w:val="28"/>
          <w:szCs w:val="28"/>
        </w:rPr>
        <w:t>.</w:t>
      </w:r>
      <w:r w:rsidR="7CC67079" w:rsidRPr="3C85173F">
        <w:rPr>
          <w:sz w:val="28"/>
          <w:szCs w:val="28"/>
        </w:rPr>
        <w:t xml:space="preserve"> </w:t>
      </w:r>
      <w:r w:rsidR="6FBF5B75" w:rsidRPr="3C85173F">
        <w:rPr>
          <w:sz w:val="28"/>
          <w:szCs w:val="28"/>
        </w:rPr>
        <w:t xml:space="preserve">For context, </w:t>
      </w:r>
      <w:r w:rsidR="71D84C13" w:rsidRPr="3C85173F">
        <w:rPr>
          <w:sz w:val="28"/>
          <w:szCs w:val="28"/>
        </w:rPr>
        <w:t>the expanded WHD will cost around £1bn inclusive of industry initiative costs</w:t>
      </w:r>
      <w:r w:rsidR="0F725C91" w:rsidRPr="3C85173F">
        <w:rPr>
          <w:sz w:val="28"/>
          <w:szCs w:val="28"/>
        </w:rPr>
        <w:t xml:space="preserve"> - </w:t>
      </w:r>
      <w:r w:rsidR="6FBF5B75" w:rsidRPr="3C85173F">
        <w:rPr>
          <w:sz w:val="28"/>
          <w:szCs w:val="28"/>
        </w:rPr>
        <w:t>i</w:t>
      </w:r>
      <w:r w:rsidR="7CC67079" w:rsidRPr="3C85173F">
        <w:rPr>
          <w:sz w:val="28"/>
          <w:szCs w:val="28"/>
        </w:rPr>
        <w:t xml:space="preserve">n 2022/23, which is the latest annual report that Ofgem have published, participating suppliers delivered £44.3 million </w:t>
      </w:r>
      <w:r w:rsidR="43419DF0" w:rsidRPr="3C85173F">
        <w:rPr>
          <w:sz w:val="28"/>
          <w:szCs w:val="28"/>
        </w:rPr>
        <w:t>in</w:t>
      </w:r>
      <w:r w:rsidR="7CC67079" w:rsidRPr="3C85173F">
        <w:rPr>
          <w:sz w:val="28"/>
          <w:szCs w:val="28"/>
        </w:rPr>
        <w:t xml:space="preserve"> Industry Initiatives</w:t>
      </w:r>
      <w:r w:rsidR="4A785C49" w:rsidRPr="3C85173F">
        <w:rPr>
          <w:sz w:val="28"/>
          <w:szCs w:val="28"/>
        </w:rPr>
        <w:t>.</w:t>
      </w:r>
    </w:p>
    <w:p w14:paraId="3FC0AF99" w14:textId="0B2F3E47" w:rsidR="001A5E58" w:rsidRDefault="24DA257B" w:rsidP="3C85173F">
      <w:pPr>
        <w:spacing w:before="200" w:after="120"/>
        <w:rPr>
          <w:sz w:val="28"/>
          <w:szCs w:val="28"/>
        </w:rPr>
      </w:pPr>
      <w:r w:rsidRPr="3C85173F">
        <w:rPr>
          <w:sz w:val="28"/>
          <w:szCs w:val="28"/>
        </w:rPr>
        <w:t>The modelling of average bill changes also includes the cost of the policy to deliver, if it were bill-funded. This is not an endorseme</w:t>
      </w:r>
      <w:r w:rsidR="3273634A" w:rsidRPr="3C85173F">
        <w:rPr>
          <w:sz w:val="28"/>
          <w:szCs w:val="28"/>
        </w:rPr>
        <w:t xml:space="preserve">nt </w:t>
      </w:r>
      <w:r w:rsidRPr="3C85173F">
        <w:rPr>
          <w:sz w:val="28"/>
          <w:szCs w:val="28"/>
        </w:rPr>
        <w:t>for the policy to be entirely-bill-funded, but rather a helpful guide on costs.</w:t>
      </w:r>
    </w:p>
    <w:p w14:paraId="499AC1F0" w14:textId="40E18669" w:rsidR="001A5E58" w:rsidRDefault="1536D120" w:rsidP="7E2D8D79">
      <w:pPr>
        <w:spacing w:before="200" w:after="120"/>
      </w:pPr>
      <w:r>
        <w:br w:type="page"/>
      </w:r>
    </w:p>
    <w:p w14:paraId="3FF736D5" w14:textId="2AA7C631" w:rsidR="001A5E58" w:rsidRDefault="5B43EAB0" w:rsidP="1A6DFC8B">
      <w:pPr>
        <w:spacing w:before="200" w:after="120"/>
        <w:rPr>
          <w:i/>
          <w:iCs/>
          <w:sz w:val="28"/>
          <w:szCs w:val="28"/>
        </w:rPr>
      </w:pPr>
      <w:r w:rsidRPr="1A6DFC8B">
        <w:rPr>
          <w:b/>
          <w:bCs/>
          <w:sz w:val="28"/>
          <w:szCs w:val="28"/>
        </w:rPr>
        <w:lastRenderedPageBreak/>
        <w:t xml:space="preserve">Table 1: Policy costs and benefits of the three </w:t>
      </w:r>
      <w:r w:rsidR="1B1DE64C" w:rsidRPr="1A6DFC8B">
        <w:rPr>
          <w:b/>
          <w:bCs/>
          <w:sz w:val="28"/>
          <w:szCs w:val="28"/>
        </w:rPr>
        <w:t>primary</w:t>
      </w:r>
      <w:r w:rsidRPr="1A6DFC8B">
        <w:rPr>
          <w:b/>
          <w:bCs/>
          <w:sz w:val="28"/>
          <w:szCs w:val="28"/>
        </w:rPr>
        <w:t xml:space="preserve"> targeted bill support methods</w:t>
      </w:r>
      <w:r w:rsidRPr="1A6DFC8B">
        <w:rPr>
          <w:i/>
          <w:iCs/>
          <w:sz w:val="28"/>
          <w:szCs w:val="28"/>
        </w:rPr>
        <w:t>.</w:t>
      </w:r>
    </w:p>
    <w:tbl>
      <w:tblPr>
        <w:tblStyle w:val="TableGrid"/>
        <w:tblW w:w="0" w:type="auto"/>
        <w:tblLayout w:type="fixed"/>
        <w:tblLook w:val="06A0" w:firstRow="1" w:lastRow="0" w:firstColumn="1" w:lastColumn="0" w:noHBand="1" w:noVBand="1"/>
      </w:tblPr>
      <w:tblGrid>
        <w:gridCol w:w="1695"/>
        <w:gridCol w:w="1695"/>
        <w:gridCol w:w="1422"/>
        <w:gridCol w:w="273"/>
        <w:gridCol w:w="1695"/>
        <w:gridCol w:w="1434"/>
        <w:gridCol w:w="261"/>
        <w:gridCol w:w="1695"/>
      </w:tblGrid>
      <w:tr w:rsidR="004B7B9B" w14:paraId="0F29D522" w14:textId="77777777" w:rsidTr="009D0758">
        <w:trPr>
          <w:trHeight w:val="315"/>
        </w:trPr>
        <w:tc>
          <w:tcPr>
            <w:tcW w:w="169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9900"/>
            <w:tcMar>
              <w:top w:w="30" w:type="dxa"/>
              <w:left w:w="45" w:type="dxa"/>
              <w:bottom w:w="30" w:type="dxa"/>
              <w:right w:w="45" w:type="dxa"/>
            </w:tcMar>
          </w:tcPr>
          <w:p w14:paraId="4E59803B" w14:textId="490D8C68" w:rsidR="004B7B9B" w:rsidRPr="0024436B" w:rsidRDefault="004B7B9B"/>
        </w:tc>
        <w:tc>
          <w:tcPr>
            <w:tcW w:w="3117" w:type="dxa"/>
            <w:gridSpan w:val="2"/>
            <w:tcBorders>
              <w:top w:val="single" w:sz="4" w:space="0" w:color="auto"/>
              <w:left w:val="single" w:sz="4" w:space="0" w:color="auto"/>
              <w:bottom w:val="single" w:sz="4" w:space="0" w:color="auto"/>
              <w:right w:val="nil"/>
            </w:tcBorders>
            <w:shd w:val="clear" w:color="auto" w:fill="FF9900"/>
            <w:tcMar>
              <w:top w:w="30" w:type="dxa"/>
              <w:left w:w="45" w:type="dxa"/>
              <w:bottom w:w="30" w:type="dxa"/>
              <w:right w:w="45" w:type="dxa"/>
            </w:tcMar>
            <w:vAlign w:val="bottom"/>
          </w:tcPr>
          <w:p w14:paraId="7F0FDF71" w14:textId="77777777" w:rsidR="004B7B9B" w:rsidRPr="0024436B" w:rsidRDefault="004B7B9B" w:rsidP="007F13EE">
            <w:pPr>
              <w:jc w:val="center"/>
            </w:pPr>
            <w:r w:rsidRPr="0024436B">
              <w:t>Payment-based discount</w:t>
            </w:r>
          </w:p>
        </w:tc>
        <w:tc>
          <w:tcPr>
            <w:tcW w:w="273" w:type="dxa"/>
            <w:tcBorders>
              <w:top w:val="single" w:sz="4" w:space="0" w:color="auto"/>
              <w:left w:val="nil"/>
              <w:bottom w:val="single" w:sz="4" w:space="0" w:color="auto"/>
              <w:right w:val="single" w:sz="4" w:space="0" w:color="auto"/>
            </w:tcBorders>
            <w:shd w:val="clear" w:color="auto" w:fill="FF9900"/>
            <w:vAlign w:val="bottom"/>
          </w:tcPr>
          <w:p w14:paraId="670BC3CD" w14:textId="0D6C6CED" w:rsidR="004B7B9B" w:rsidRPr="00F601F6" w:rsidRDefault="004B7B9B" w:rsidP="007F13EE">
            <w:pPr>
              <w:jc w:val="center"/>
              <w:rPr>
                <w:sz w:val="4"/>
                <w:szCs w:val="4"/>
              </w:rPr>
            </w:pPr>
            <w:r w:rsidRPr="00F601F6">
              <w:rPr>
                <w:color w:val="FF9900"/>
                <w:sz w:val="4"/>
                <w:szCs w:val="4"/>
              </w:rPr>
              <w:t>Payment-based discount</w:t>
            </w:r>
          </w:p>
        </w:tc>
        <w:tc>
          <w:tcPr>
            <w:tcW w:w="3129" w:type="dxa"/>
            <w:gridSpan w:val="2"/>
            <w:tcBorders>
              <w:top w:val="single" w:sz="4" w:space="0" w:color="auto"/>
              <w:left w:val="single" w:sz="4" w:space="0" w:color="auto"/>
              <w:bottom w:val="single" w:sz="4" w:space="0" w:color="auto"/>
              <w:right w:val="nil"/>
            </w:tcBorders>
            <w:shd w:val="clear" w:color="auto" w:fill="FF9900"/>
            <w:tcMar>
              <w:top w:w="30" w:type="dxa"/>
              <w:left w:w="45" w:type="dxa"/>
              <w:bottom w:w="30" w:type="dxa"/>
              <w:right w:w="45" w:type="dxa"/>
            </w:tcMar>
            <w:vAlign w:val="bottom"/>
          </w:tcPr>
          <w:p w14:paraId="5BBDFC4E" w14:textId="77777777" w:rsidR="004B7B9B" w:rsidRPr="0024436B" w:rsidRDefault="004B7B9B" w:rsidP="1A6DFC8B">
            <w:pPr>
              <w:jc w:val="center"/>
            </w:pPr>
            <w:r w:rsidRPr="0024436B">
              <w:t xml:space="preserve">Unit rate discount </w:t>
            </w:r>
            <w:r w:rsidRPr="0024436B">
              <w:br/>
            </w:r>
            <w:r w:rsidRPr="0024436B">
              <w:br/>
              <w:t>(i.e. 30%)</w:t>
            </w:r>
          </w:p>
        </w:tc>
        <w:tc>
          <w:tcPr>
            <w:tcW w:w="261" w:type="dxa"/>
            <w:tcBorders>
              <w:top w:val="single" w:sz="4" w:space="0" w:color="auto"/>
              <w:left w:val="nil"/>
              <w:bottom w:val="single" w:sz="4" w:space="0" w:color="auto"/>
              <w:right w:val="single" w:sz="4" w:space="0" w:color="auto"/>
            </w:tcBorders>
            <w:shd w:val="clear" w:color="auto" w:fill="FF9900"/>
            <w:vAlign w:val="bottom"/>
          </w:tcPr>
          <w:p w14:paraId="565FB884" w14:textId="3205D4EA" w:rsidR="004B7B9B" w:rsidRPr="004B7B9B" w:rsidRDefault="004B7B9B" w:rsidP="1A6DFC8B">
            <w:pPr>
              <w:jc w:val="center"/>
              <w:rPr>
                <w:sz w:val="4"/>
                <w:szCs w:val="4"/>
              </w:rPr>
            </w:pPr>
            <w:r w:rsidRPr="004B7B9B">
              <w:rPr>
                <w:color w:val="FF9900"/>
                <w:sz w:val="4"/>
                <w:szCs w:val="4"/>
              </w:rPr>
              <w:t xml:space="preserve">Unit rate discount </w:t>
            </w:r>
            <w:r w:rsidRPr="004B7B9B">
              <w:rPr>
                <w:color w:val="FF9900"/>
                <w:sz w:val="4"/>
                <w:szCs w:val="4"/>
              </w:rPr>
              <w:br/>
            </w:r>
            <w:r w:rsidRPr="004B7B9B">
              <w:rPr>
                <w:color w:val="FF9900"/>
                <w:sz w:val="4"/>
                <w:szCs w:val="4"/>
              </w:rPr>
              <w:br/>
              <w:t>(i.e. 30%)</w:t>
            </w:r>
          </w:p>
        </w:tc>
        <w:tc>
          <w:tcPr>
            <w:tcW w:w="1695" w:type="dxa"/>
            <w:tcBorders>
              <w:top w:val="single" w:sz="4" w:space="0" w:color="auto"/>
              <w:left w:val="single" w:sz="4" w:space="0" w:color="auto"/>
              <w:bottom w:val="nil"/>
              <w:right w:val="single" w:sz="4" w:space="0" w:color="auto"/>
            </w:tcBorders>
            <w:shd w:val="clear" w:color="auto" w:fill="FF9900"/>
            <w:tcMar>
              <w:top w:w="30" w:type="dxa"/>
              <w:left w:w="45" w:type="dxa"/>
              <w:bottom w:w="30" w:type="dxa"/>
              <w:right w:w="45" w:type="dxa"/>
            </w:tcMar>
            <w:vAlign w:val="bottom"/>
          </w:tcPr>
          <w:p w14:paraId="2150C986" w14:textId="5A669844" w:rsidR="004B7B9B" w:rsidRPr="0024436B" w:rsidRDefault="004B7B9B" w:rsidP="009D0758">
            <w:pPr>
              <w:jc w:val="center"/>
            </w:pPr>
            <w:r w:rsidRPr="0024436B">
              <w:t>Rising block tariff</w:t>
            </w:r>
          </w:p>
        </w:tc>
      </w:tr>
      <w:tr w:rsidR="1A6DFC8B" w14:paraId="105F6E50" w14:textId="77777777" w:rsidTr="009D0758">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9900"/>
            <w:tcMar>
              <w:top w:w="30" w:type="dxa"/>
              <w:left w:w="45" w:type="dxa"/>
              <w:bottom w:w="30" w:type="dxa"/>
              <w:right w:w="45" w:type="dxa"/>
            </w:tcMar>
          </w:tcPr>
          <w:p w14:paraId="06B19B1A" w14:textId="03730E87" w:rsidR="1A6DFC8B" w:rsidRPr="0024436B" w:rsidRDefault="1A6DFC8B"/>
        </w:tc>
        <w:tc>
          <w:tcPr>
            <w:tcW w:w="1695" w:type="dxa"/>
            <w:tcBorders>
              <w:top w:val="nil"/>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6796E9E8" w14:textId="4EAE2AF0" w:rsidR="1A6DFC8B" w:rsidRPr="0024436B" w:rsidRDefault="1A6DFC8B" w:rsidP="1A6DFC8B">
            <w:pPr>
              <w:jc w:val="center"/>
            </w:pPr>
            <w:r w:rsidRPr="0024436B">
              <w:t>(£150 - WHD)</w:t>
            </w:r>
          </w:p>
        </w:tc>
        <w:tc>
          <w:tcPr>
            <w:tcW w:w="1695" w:type="dxa"/>
            <w:gridSpan w:val="2"/>
            <w:tcBorders>
              <w:top w:val="nil"/>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2EA9FADB" w14:textId="1B5F15C3" w:rsidR="1A6DFC8B" w:rsidRPr="0024436B" w:rsidRDefault="1A6DFC8B" w:rsidP="1A6DFC8B">
            <w:pPr>
              <w:jc w:val="center"/>
            </w:pPr>
            <w:r w:rsidRPr="0024436B">
              <w:t>(£400)</w:t>
            </w:r>
          </w:p>
        </w:tc>
        <w:tc>
          <w:tcPr>
            <w:tcW w:w="1695" w:type="dxa"/>
            <w:tcBorders>
              <w:top w:val="single" w:sz="4" w:space="0" w:color="auto"/>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1B7775C0" w14:textId="6DCD5153" w:rsidR="1A6DFC8B" w:rsidRPr="0024436B" w:rsidRDefault="1A6DFC8B" w:rsidP="1A6DFC8B">
            <w:pPr>
              <w:jc w:val="center"/>
            </w:pPr>
            <w:r w:rsidRPr="0024436B">
              <w:t>Incl. SC</w:t>
            </w:r>
          </w:p>
        </w:tc>
        <w:tc>
          <w:tcPr>
            <w:tcW w:w="1695" w:type="dxa"/>
            <w:gridSpan w:val="2"/>
            <w:tcBorders>
              <w:top w:val="single" w:sz="4" w:space="0" w:color="auto"/>
              <w:left w:val="single" w:sz="6" w:space="0" w:color="CCCCCC"/>
              <w:bottom w:val="single" w:sz="6" w:space="0" w:color="000000" w:themeColor="text1"/>
              <w:right w:val="single" w:sz="4" w:space="0" w:color="auto"/>
            </w:tcBorders>
            <w:shd w:val="clear" w:color="auto" w:fill="FF9900"/>
            <w:tcMar>
              <w:top w:w="30" w:type="dxa"/>
              <w:left w:w="45" w:type="dxa"/>
              <w:bottom w:w="30" w:type="dxa"/>
              <w:right w:w="45" w:type="dxa"/>
            </w:tcMar>
            <w:vAlign w:val="bottom"/>
          </w:tcPr>
          <w:p w14:paraId="0F69A62A" w14:textId="28071B58" w:rsidR="1A6DFC8B" w:rsidRPr="0024436B" w:rsidRDefault="1A6DFC8B" w:rsidP="1A6DFC8B">
            <w:pPr>
              <w:jc w:val="center"/>
            </w:pPr>
            <w:r w:rsidRPr="0024436B">
              <w:t>Excl. SC</w:t>
            </w:r>
          </w:p>
        </w:tc>
        <w:tc>
          <w:tcPr>
            <w:tcW w:w="1695" w:type="dxa"/>
            <w:tcBorders>
              <w:top w:val="nil"/>
              <w:left w:val="single" w:sz="4" w:space="0" w:color="auto"/>
              <w:bottom w:val="single" w:sz="4" w:space="0" w:color="auto"/>
              <w:right w:val="single" w:sz="4" w:space="0" w:color="auto"/>
            </w:tcBorders>
            <w:shd w:val="clear" w:color="auto" w:fill="FF9900"/>
            <w:vAlign w:val="center"/>
          </w:tcPr>
          <w:p w14:paraId="52C9FE60" w14:textId="77777777" w:rsidR="005A4214" w:rsidRPr="0024436B" w:rsidRDefault="005A4214"/>
        </w:tc>
      </w:tr>
      <w:tr w:rsidR="1A6DFC8B" w14:paraId="50B4183C" w14:textId="77777777" w:rsidTr="009D0758">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418F24AB" w14:textId="25AB5C1D" w:rsidR="1A6DFC8B" w:rsidRDefault="1A6DFC8B" w:rsidP="1A6DFC8B">
            <w:r w:rsidRPr="1A6DFC8B">
              <w:t>Policy cost</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13A1087F" w14:textId="75587B64" w:rsidR="1A6DFC8B" w:rsidRDefault="1A6DFC8B" w:rsidP="1A6DFC8B">
            <w:pPr>
              <w:jc w:val="center"/>
            </w:pPr>
            <w:r w:rsidRPr="1A6DFC8B">
              <w:t>£0.8</w:t>
            </w:r>
            <w:r w:rsidR="7059467D" w:rsidRPr="1A6DFC8B">
              <w:t>bn</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DF4F4"/>
            <w:tcMar>
              <w:top w:w="30" w:type="dxa"/>
              <w:left w:w="45" w:type="dxa"/>
              <w:bottom w:w="30" w:type="dxa"/>
              <w:right w:w="45" w:type="dxa"/>
            </w:tcMar>
            <w:vAlign w:val="bottom"/>
          </w:tcPr>
          <w:p w14:paraId="4B021480" w14:textId="5AFAEF23" w:rsidR="1A6DFC8B" w:rsidRDefault="1A6DFC8B" w:rsidP="1A6DFC8B">
            <w:pPr>
              <w:jc w:val="center"/>
            </w:pPr>
            <w:r w:rsidRPr="1A6DFC8B">
              <w:t>£2.1</w:t>
            </w:r>
            <w:r w:rsidR="54EA490B" w:rsidRPr="1A6DFC8B">
              <w:t>bn</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0B5436DC" w14:textId="04AFA4B1" w:rsidR="1A6DFC8B" w:rsidRDefault="1A6DFC8B" w:rsidP="1A6DFC8B">
            <w:pPr>
              <w:jc w:val="center"/>
            </w:pPr>
            <w:r w:rsidRPr="1A6DFC8B">
              <w:t>£2.</w:t>
            </w:r>
            <w:r w:rsidR="1E2E33C2" w:rsidRPr="1A6DFC8B">
              <w:t>6bn</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0C34B70C" w14:textId="57A04579" w:rsidR="1A6DFC8B" w:rsidRDefault="1A6DFC8B" w:rsidP="1A6DFC8B">
            <w:pPr>
              <w:jc w:val="center"/>
            </w:pPr>
            <w:r w:rsidRPr="1A6DFC8B">
              <w:t>£2.</w:t>
            </w:r>
            <w:r w:rsidR="7C128858" w:rsidRPr="1A6DFC8B">
              <w:t>1bn</w:t>
            </w:r>
          </w:p>
        </w:tc>
        <w:tc>
          <w:tcPr>
            <w:tcW w:w="1695" w:type="dxa"/>
            <w:tcBorders>
              <w:top w:val="single" w:sz="4" w:space="0" w:color="auto"/>
              <w:left w:val="single" w:sz="6" w:space="0" w:color="CCCCCC"/>
              <w:bottom w:val="single" w:sz="6" w:space="0" w:color="000000" w:themeColor="text1"/>
              <w:right w:val="single" w:sz="6" w:space="0" w:color="000000" w:themeColor="text1"/>
            </w:tcBorders>
            <w:shd w:val="clear" w:color="auto" w:fill="EFF8F4"/>
            <w:tcMar>
              <w:top w:w="30" w:type="dxa"/>
              <w:left w:w="45" w:type="dxa"/>
              <w:bottom w:w="30" w:type="dxa"/>
              <w:right w:w="45" w:type="dxa"/>
            </w:tcMar>
            <w:vAlign w:val="bottom"/>
          </w:tcPr>
          <w:p w14:paraId="7888D259" w14:textId="27B756D1" w:rsidR="1A6DFC8B" w:rsidRDefault="1A6DFC8B" w:rsidP="1A6DFC8B">
            <w:pPr>
              <w:jc w:val="center"/>
            </w:pPr>
            <w:r w:rsidRPr="1A6DFC8B">
              <w:t>£</w:t>
            </w:r>
            <w:r w:rsidR="18A70502" w:rsidRPr="1A6DFC8B">
              <w:t>2.0bn</w:t>
            </w:r>
          </w:p>
        </w:tc>
      </w:tr>
      <w:tr w:rsidR="1A6DFC8B" w14:paraId="68D21B95"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0C9F8FF4" w14:textId="09367996" w:rsidR="1A6DFC8B" w:rsidRDefault="1A6DFC8B" w:rsidP="1A6DFC8B">
            <w:r w:rsidRPr="1A6DFC8B">
              <w:t>Policy winners</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72DDA95" w14:textId="454BAF0E" w:rsidR="1A6DFC8B" w:rsidRDefault="1A6DFC8B" w:rsidP="1A6DFC8B">
            <w:pPr>
              <w:jc w:val="center"/>
            </w:pPr>
            <w:r w:rsidRPr="1A6DFC8B">
              <w:t>5.3</w:t>
            </w:r>
            <w:r w:rsidR="27C1CC90"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5C3EE824" w14:textId="3F9CFD88" w:rsidR="1A6DFC8B" w:rsidRDefault="1A6DFC8B" w:rsidP="1A6DFC8B">
            <w:pPr>
              <w:jc w:val="center"/>
            </w:pPr>
            <w:r w:rsidRPr="1A6DFC8B">
              <w:t>5.3</w:t>
            </w:r>
            <w:r w:rsidR="631E0D37"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0B4AE"/>
            <w:tcMar>
              <w:top w:w="30" w:type="dxa"/>
              <w:left w:w="45" w:type="dxa"/>
              <w:bottom w:w="30" w:type="dxa"/>
              <w:right w:w="45" w:type="dxa"/>
            </w:tcMar>
            <w:vAlign w:val="bottom"/>
          </w:tcPr>
          <w:p w14:paraId="505DA4D6" w14:textId="427E6ACF" w:rsidR="1A6DFC8B" w:rsidRDefault="1A6DFC8B" w:rsidP="1A6DFC8B">
            <w:pPr>
              <w:jc w:val="center"/>
            </w:pPr>
            <w:r w:rsidRPr="1A6DFC8B">
              <w:t>4.9</w:t>
            </w:r>
            <w:r w:rsidR="7FEB04FD"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111A404" w14:textId="00144472" w:rsidR="1A6DFC8B" w:rsidRDefault="1A6DFC8B" w:rsidP="1A6DFC8B">
            <w:pPr>
              <w:jc w:val="center"/>
            </w:pPr>
            <w:r w:rsidRPr="1A6DFC8B">
              <w:t>4.6</w:t>
            </w:r>
            <w:r w:rsidR="5B4DCB91"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6EEDEBA6" w14:textId="64398680" w:rsidR="1A6DFC8B" w:rsidRDefault="1A6DFC8B" w:rsidP="1A6DFC8B">
            <w:pPr>
              <w:jc w:val="center"/>
            </w:pPr>
            <w:r w:rsidRPr="1A6DFC8B">
              <w:t>18.6</w:t>
            </w:r>
            <w:r w:rsidR="64396EDB" w:rsidRPr="1A6DFC8B">
              <w:t>m</w:t>
            </w:r>
          </w:p>
        </w:tc>
      </w:tr>
      <w:tr w:rsidR="1A6DFC8B" w14:paraId="76313D06"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B23F829" w14:textId="254ADA3E" w:rsidR="1A6DFC8B" w:rsidRDefault="1A6DFC8B" w:rsidP="1A6DFC8B">
            <w:r w:rsidRPr="1A6DFC8B">
              <w:t>Policy losers</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28EBDDAA" w14:textId="39A832A5" w:rsidR="1A6DFC8B" w:rsidRDefault="1A6DFC8B" w:rsidP="1A6DFC8B">
            <w:pPr>
              <w:jc w:val="center"/>
            </w:pPr>
            <w:r w:rsidRPr="1A6DFC8B">
              <w:t>23.2</w:t>
            </w:r>
            <w:r w:rsidR="68CDC8C6"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60FA82C0" w14:textId="6AAADCB6" w:rsidR="1A6DFC8B" w:rsidRDefault="1A6DFC8B" w:rsidP="1A6DFC8B">
            <w:pPr>
              <w:jc w:val="center"/>
            </w:pPr>
            <w:r w:rsidRPr="1A6DFC8B">
              <w:t>23.2</w:t>
            </w:r>
            <w:r w:rsidR="28770846"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1B5AF"/>
            <w:tcMar>
              <w:top w:w="30" w:type="dxa"/>
              <w:left w:w="45" w:type="dxa"/>
              <w:bottom w:w="30" w:type="dxa"/>
              <w:right w:w="45" w:type="dxa"/>
            </w:tcMar>
            <w:vAlign w:val="bottom"/>
          </w:tcPr>
          <w:p w14:paraId="5D08B9F1" w14:textId="73B1222C" w:rsidR="1A6DFC8B" w:rsidRDefault="1A6DFC8B" w:rsidP="1A6DFC8B">
            <w:pPr>
              <w:jc w:val="center"/>
            </w:pPr>
            <w:r w:rsidRPr="1A6DFC8B">
              <w:t>23.6</w:t>
            </w:r>
            <w:r w:rsidR="32A7DE18"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5CB9A0FF" w14:textId="694E0F31" w:rsidR="1A6DFC8B" w:rsidRDefault="1A6DFC8B" w:rsidP="1A6DFC8B">
            <w:pPr>
              <w:jc w:val="center"/>
            </w:pPr>
            <w:r w:rsidRPr="1A6DFC8B">
              <w:t>23.9</w:t>
            </w:r>
            <w:r w:rsidR="2B808148"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4888FDCA" w14:textId="5EF248B1" w:rsidR="1A6DFC8B" w:rsidRDefault="1A6DFC8B" w:rsidP="1A6DFC8B">
            <w:pPr>
              <w:jc w:val="center"/>
            </w:pPr>
            <w:r w:rsidRPr="1A6DFC8B">
              <w:t>9.9</w:t>
            </w:r>
            <w:r w:rsidR="7B7BCD6E" w:rsidRPr="1A6DFC8B">
              <w:t>m</w:t>
            </w:r>
          </w:p>
        </w:tc>
      </w:tr>
      <w:tr w:rsidR="1A6DFC8B" w14:paraId="0EB18F58"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59E7BE4F" w14:textId="691156DF" w:rsidR="1A6DFC8B" w:rsidRDefault="1A6DFC8B" w:rsidP="1A6DFC8B">
            <w:r w:rsidRPr="1A6DFC8B">
              <w:t>Average change in annual bills (winners)</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7E53AA84" w14:textId="1172930F" w:rsidR="1A6DFC8B" w:rsidRDefault="1A6DFC8B" w:rsidP="1A6DFC8B">
            <w:pPr>
              <w:jc w:val="center"/>
            </w:pPr>
            <w:r w:rsidRPr="1A6DFC8B">
              <w:t>-£122</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7285E798" w14:textId="7DD39F7B" w:rsidR="1A6DFC8B" w:rsidRDefault="1A6DFC8B" w:rsidP="1A6DFC8B">
            <w:pPr>
              <w:jc w:val="center"/>
            </w:pPr>
            <w:r w:rsidRPr="1A6DFC8B">
              <w:t>-£326</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1256506C" w14:textId="0C7A586A" w:rsidR="1A6DFC8B" w:rsidRDefault="1A6DFC8B" w:rsidP="1A6DFC8B">
            <w:pPr>
              <w:jc w:val="center"/>
            </w:pPr>
            <w:r w:rsidRPr="1A6DFC8B">
              <w:t>-£431</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ABDDC4"/>
            <w:tcMar>
              <w:top w:w="30" w:type="dxa"/>
              <w:left w:w="45" w:type="dxa"/>
              <w:bottom w:w="30" w:type="dxa"/>
              <w:right w:w="45" w:type="dxa"/>
            </w:tcMar>
            <w:vAlign w:val="bottom"/>
          </w:tcPr>
          <w:p w14:paraId="0C0B59FF" w14:textId="3CA95D0D" w:rsidR="1A6DFC8B" w:rsidRDefault="1A6DFC8B" w:rsidP="1A6DFC8B">
            <w:pPr>
              <w:jc w:val="center"/>
            </w:pPr>
            <w:r w:rsidRPr="1A6DFC8B">
              <w:t>-£378</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0B0AB"/>
            <w:tcMar>
              <w:top w:w="30" w:type="dxa"/>
              <w:left w:w="45" w:type="dxa"/>
              <w:bottom w:w="30" w:type="dxa"/>
              <w:right w:w="45" w:type="dxa"/>
            </w:tcMar>
            <w:vAlign w:val="bottom"/>
          </w:tcPr>
          <w:p w14:paraId="54C6953D" w14:textId="4836491B" w:rsidR="1A6DFC8B" w:rsidRDefault="1A6DFC8B" w:rsidP="1A6DFC8B">
            <w:pPr>
              <w:jc w:val="center"/>
            </w:pPr>
            <w:r w:rsidRPr="1A6DFC8B">
              <w:t>-£203</w:t>
            </w:r>
          </w:p>
        </w:tc>
      </w:tr>
      <w:tr w:rsidR="1A6DFC8B" w14:paraId="14BB177D"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3474D4A4" w14:textId="1EB3FE6A" w:rsidR="1A6DFC8B" w:rsidRDefault="1A6DFC8B" w:rsidP="1A6DFC8B">
            <w:r w:rsidRPr="1A6DFC8B">
              <w:t>Average change in annual bills (losers)</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6F0EB09C" w14:textId="0F2E9BA7" w:rsidR="1A6DFC8B" w:rsidRDefault="1A6DFC8B" w:rsidP="1A6DFC8B">
            <w:pPr>
              <w:jc w:val="center"/>
            </w:pPr>
            <w:r w:rsidRPr="1A6DFC8B">
              <w:t>£28</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6E990331" w14:textId="121E8DB4" w:rsidR="1A6DFC8B" w:rsidRDefault="1A6DFC8B" w:rsidP="1A6DFC8B">
            <w:pPr>
              <w:jc w:val="center"/>
            </w:pPr>
            <w:r w:rsidRPr="1A6DFC8B">
              <w:t>£74</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EF9F9"/>
            <w:tcMar>
              <w:top w:w="30" w:type="dxa"/>
              <w:left w:w="45" w:type="dxa"/>
              <w:bottom w:w="30" w:type="dxa"/>
              <w:right w:w="45" w:type="dxa"/>
            </w:tcMar>
            <w:vAlign w:val="bottom"/>
          </w:tcPr>
          <w:p w14:paraId="439EB2FE" w14:textId="7F175F53" w:rsidR="1A6DFC8B" w:rsidRDefault="1A6DFC8B" w:rsidP="1A6DFC8B">
            <w:pPr>
              <w:jc w:val="center"/>
            </w:pPr>
            <w:r w:rsidRPr="1A6DFC8B">
              <w:t>£89</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8FCFA"/>
            <w:tcMar>
              <w:top w:w="30" w:type="dxa"/>
              <w:left w:w="45" w:type="dxa"/>
              <w:bottom w:w="30" w:type="dxa"/>
              <w:right w:w="45" w:type="dxa"/>
            </w:tcMar>
            <w:vAlign w:val="bottom"/>
          </w:tcPr>
          <w:p w14:paraId="27F5F260" w14:textId="06251129" w:rsidR="1A6DFC8B" w:rsidRDefault="1A6DFC8B" w:rsidP="1A6DFC8B">
            <w:pPr>
              <w:jc w:val="center"/>
            </w:pPr>
            <w:r w:rsidRPr="1A6DFC8B">
              <w:t>£73</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286916E" w14:textId="4076BF1A" w:rsidR="1A6DFC8B" w:rsidRDefault="1A6DFC8B" w:rsidP="1A6DFC8B">
            <w:pPr>
              <w:jc w:val="center"/>
            </w:pPr>
            <w:r w:rsidRPr="1A6DFC8B">
              <w:t>£381</w:t>
            </w:r>
          </w:p>
        </w:tc>
      </w:tr>
      <w:tr w:rsidR="1A6DFC8B" w14:paraId="320BEA99"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BFE4AC6" w14:textId="231F8F19" w:rsidR="1A6DFC8B" w:rsidRDefault="1A6DFC8B" w:rsidP="1A6DFC8B">
            <w:r w:rsidRPr="1A6DFC8B">
              <w:t>Median change in annual bills (winners)</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154EFB3F" w14:textId="54E49834" w:rsidR="1A6DFC8B" w:rsidRDefault="1A6DFC8B" w:rsidP="1A6DFC8B">
            <w:pPr>
              <w:jc w:val="center"/>
            </w:pPr>
            <w:r w:rsidRPr="1A6DFC8B">
              <w:t>-£122</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95D4B5"/>
            <w:tcMar>
              <w:top w:w="30" w:type="dxa"/>
              <w:left w:w="45" w:type="dxa"/>
              <w:bottom w:w="30" w:type="dxa"/>
              <w:right w:w="45" w:type="dxa"/>
            </w:tcMar>
            <w:vAlign w:val="bottom"/>
          </w:tcPr>
          <w:p w14:paraId="697F0DA1" w14:textId="2A5A0E41" w:rsidR="1A6DFC8B" w:rsidRDefault="1A6DFC8B" w:rsidP="1A6DFC8B">
            <w:pPr>
              <w:jc w:val="center"/>
            </w:pPr>
            <w:r w:rsidRPr="1A6DFC8B">
              <w:t>-£326</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66C9BC07" w14:textId="0F8CE764" w:rsidR="1A6DFC8B" w:rsidRDefault="1A6DFC8B" w:rsidP="1A6DFC8B">
            <w:pPr>
              <w:jc w:val="center"/>
            </w:pPr>
            <w:r w:rsidRPr="1A6DFC8B">
              <w:t>-£342</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F681713" w14:textId="0F40FCC1" w:rsidR="1A6DFC8B" w:rsidRDefault="1A6DFC8B" w:rsidP="1A6DFC8B">
            <w:pPr>
              <w:jc w:val="center"/>
            </w:pPr>
            <w:r w:rsidRPr="1A6DFC8B">
              <w:t>-£298</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2B8B3"/>
            <w:tcMar>
              <w:top w:w="30" w:type="dxa"/>
              <w:left w:w="45" w:type="dxa"/>
              <w:bottom w:w="30" w:type="dxa"/>
              <w:right w:w="45" w:type="dxa"/>
            </w:tcMar>
            <w:vAlign w:val="bottom"/>
          </w:tcPr>
          <w:p w14:paraId="5D23E8EE" w14:textId="20410728" w:rsidR="1A6DFC8B" w:rsidRDefault="1A6DFC8B" w:rsidP="1A6DFC8B">
            <w:pPr>
              <w:jc w:val="center"/>
            </w:pPr>
            <w:r w:rsidRPr="1A6DFC8B">
              <w:t>-£202</w:t>
            </w:r>
          </w:p>
        </w:tc>
      </w:tr>
      <w:tr w:rsidR="1A6DFC8B" w14:paraId="5BA2C3E6"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C6138A8" w14:textId="2C9D06AD" w:rsidR="1A6DFC8B" w:rsidRDefault="1A6DFC8B" w:rsidP="1A6DFC8B">
            <w:r w:rsidRPr="1A6DFC8B">
              <w:t>Median change in annual bills (losers)</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2245CBCF" w14:textId="57A2E4FD" w:rsidR="1A6DFC8B" w:rsidRDefault="1A6DFC8B" w:rsidP="1A6DFC8B">
            <w:pPr>
              <w:jc w:val="center"/>
            </w:pPr>
            <w:r w:rsidRPr="1A6DFC8B">
              <w:t>£28</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5F936BBA" w14:textId="1C0F06BA" w:rsidR="1A6DFC8B" w:rsidRDefault="1A6DFC8B" w:rsidP="1A6DFC8B">
            <w:pPr>
              <w:jc w:val="center"/>
            </w:pPr>
            <w:r w:rsidRPr="1A6DFC8B">
              <w:t>£74</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DF1F0"/>
            <w:tcMar>
              <w:top w:w="30" w:type="dxa"/>
              <w:left w:w="45" w:type="dxa"/>
              <w:bottom w:w="30" w:type="dxa"/>
              <w:right w:w="45" w:type="dxa"/>
            </w:tcMar>
            <w:vAlign w:val="bottom"/>
          </w:tcPr>
          <w:p w14:paraId="5E18366B" w14:textId="17DA0948" w:rsidR="1A6DFC8B" w:rsidRDefault="1A6DFC8B" w:rsidP="1A6DFC8B">
            <w:pPr>
              <w:jc w:val="center"/>
            </w:pPr>
            <w:r w:rsidRPr="1A6DFC8B">
              <w:t>£90</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9FCFB"/>
            <w:tcMar>
              <w:top w:w="30" w:type="dxa"/>
              <w:left w:w="45" w:type="dxa"/>
              <w:bottom w:w="30" w:type="dxa"/>
              <w:right w:w="45" w:type="dxa"/>
            </w:tcMar>
            <w:vAlign w:val="bottom"/>
          </w:tcPr>
          <w:p w14:paraId="5469EB01" w14:textId="28C0D2B1" w:rsidR="1A6DFC8B" w:rsidRDefault="1A6DFC8B" w:rsidP="1A6DFC8B">
            <w:pPr>
              <w:jc w:val="center"/>
            </w:pPr>
            <w:r w:rsidRPr="1A6DFC8B">
              <w:t>£73</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242CB7C5" w14:textId="00CEA3E7" w:rsidR="1A6DFC8B" w:rsidRDefault="1A6DFC8B" w:rsidP="1A6DFC8B">
            <w:pPr>
              <w:jc w:val="center"/>
            </w:pPr>
            <w:r w:rsidRPr="1A6DFC8B">
              <w:t>£211</w:t>
            </w:r>
          </w:p>
        </w:tc>
      </w:tr>
      <w:tr w:rsidR="1A6DFC8B" w14:paraId="7666D9CC"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0A2EBA53" w14:textId="0214F693" w:rsidR="1A6DFC8B" w:rsidRDefault="1A6DFC8B" w:rsidP="1A6DFC8B">
            <w:r w:rsidRPr="1A6DFC8B">
              <w:t>Change in fuel poverty</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69C96989" w14:textId="779038FD" w:rsidR="1A6DFC8B" w:rsidRDefault="1A6DFC8B" w:rsidP="1A6DFC8B">
            <w:pPr>
              <w:jc w:val="center"/>
            </w:pPr>
            <w:r w:rsidRPr="1A6DFC8B">
              <w:t>-0.16</w:t>
            </w:r>
            <w:r w:rsidR="3D125FD3"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ADDDC5"/>
            <w:tcMar>
              <w:top w:w="30" w:type="dxa"/>
              <w:left w:w="45" w:type="dxa"/>
              <w:bottom w:w="30" w:type="dxa"/>
              <w:right w:w="45" w:type="dxa"/>
            </w:tcMar>
            <w:vAlign w:val="bottom"/>
          </w:tcPr>
          <w:p w14:paraId="42766215" w14:textId="5C10E97E" w:rsidR="1A6DFC8B" w:rsidRDefault="1A6DFC8B" w:rsidP="1A6DFC8B">
            <w:pPr>
              <w:jc w:val="center"/>
            </w:pPr>
            <w:r w:rsidRPr="1A6DFC8B">
              <w:t>-0.51</w:t>
            </w:r>
            <w:r w:rsidR="4B0F5897"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1CB82F43" w14:textId="696FDF27" w:rsidR="1A6DFC8B" w:rsidRDefault="1A6DFC8B" w:rsidP="1A6DFC8B">
            <w:pPr>
              <w:jc w:val="center"/>
            </w:pPr>
            <w:r w:rsidRPr="1A6DFC8B">
              <w:t>-0.58</w:t>
            </w:r>
            <w:r w:rsidR="65DF4465"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03A38955" w14:textId="29A61B5B" w:rsidR="1A6DFC8B" w:rsidRDefault="1A6DFC8B" w:rsidP="1A6DFC8B">
            <w:pPr>
              <w:jc w:val="center"/>
            </w:pPr>
            <w:r w:rsidRPr="1A6DFC8B">
              <w:t>-0.44</w:t>
            </w:r>
            <w:r w:rsidR="1AA00DE9"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98980"/>
            <w:tcMar>
              <w:top w:w="30" w:type="dxa"/>
              <w:left w:w="45" w:type="dxa"/>
              <w:bottom w:w="30" w:type="dxa"/>
              <w:right w:w="45" w:type="dxa"/>
            </w:tcMar>
            <w:vAlign w:val="bottom"/>
          </w:tcPr>
          <w:p w14:paraId="751AC98E" w14:textId="74F40F71" w:rsidR="1A6DFC8B" w:rsidRDefault="1A6DFC8B" w:rsidP="1A6DFC8B">
            <w:pPr>
              <w:jc w:val="center"/>
            </w:pPr>
            <w:r w:rsidRPr="1A6DFC8B">
              <w:t>-0.19</w:t>
            </w:r>
            <w:r w:rsidR="14AFBD2A" w:rsidRPr="1A6DFC8B">
              <w:t>m</w:t>
            </w:r>
          </w:p>
        </w:tc>
      </w:tr>
      <w:tr w:rsidR="1A6DFC8B" w14:paraId="0B1A95A8"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2457C001" w14:textId="330F1A3D" w:rsidR="1A6DFC8B" w:rsidRDefault="1A6DFC8B" w:rsidP="1A6DFC8B">
            <w:r w:rsidRPr="1A6DFC8B">
              <w:t>Change in fuel poverty for disabled households</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57CE72DA" w14:textId="0480A376" w:rsidR="1A6DFC8B" w:rsidRDefault="1A6DFC8B" w:rsidP="1A6DFC8B">
            <w:pPr>
              <w:jc w:val="center"/>
            </w:pPr>
            <w:r w:rsidRPr="1A6DFC8B">
              <w:t>-0.11</w:t>
            </w:r>
            <w:r w:rsidR="1910B2AA"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B6E1CC"/>
            <w:tcMar>
              <w:top w:w="30" w:type="dxa"/>
              <w:left w:w="45" w:type="dxa"/>
              <w:bottom w:w="30" w:type="dxa"/>
              <w:right w:w="45" w:type="dxa"/>
            </w:tcMar>
            <w:vAlign w:val="bottom"/>
          </w:tcPr>
          <w:p w14:paraId="062DA6F1" w14:textId="00644A2C" w:rsidR="1A6DFC8B" w:rsidRDefault="1A6DFC8B" w:rsidP="1A6DFC8B">
            <w:pPr>
              <w:jc w:val="center"/>
            </w:pPr>
            <w:r w:rsidRPr="1A6DFC8B">
              <w:t>-0.31</w:t>
            </w:r>
            <w:r w:rsidR="5E6FE98F"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1E379190" w14:textId="5FBEC0FB" w:rsidR="1A6DFC8B" w:rsidRDefault="1A6DFC8B" w:rsidP="1A6DFC8B">
            <w:pPr>
              <w:jc w:val="center"/>
            </w:pPr>
            <w:r w:rsidRPr="1A6DFC8B">
              <w:t>-0.36</w:t>
            </w:r>
            <w:r w:rsidR="208D86CC"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3E87359E" w14:textId="14A64408" w:rsidR="1A6DFC8B" w:rsidRDefault="1A6DFC8B" w:rsidP="1A6DFC8B">
            <w:pPr>
              <w:jc w:val="center"/>
            </w:pPr>
            <w:r w:rsidRPr="1A6DFC8B">
              <w:t>-0.26</w:t>
            </w:r>
            <w:r w:rsidR="56CFD36D"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88279"/>
            <w:tcMar>
              <w:top w:w="30" w:type="dxa"/>
              <w:left w:w="45" w:type="dxa"/>
              <w:bottom w:w="30" w:type="dxa"/>
              <w:right w:w="45" w:type="dxa"/>
            </w:tcMar>
            <w:vAlign w:val="bottom"/>
          </w:tcPr>
          <w:p w14:paraId="6BD1AA38" w14:textId="23E0BC5F" w:rsidR="1A6DFC8B" w:rsidRDefault="1A6DFC8B" w:rsidP="1A6DFC8B">
            <w:pPr>
              <w:jc w:val="center"/>
            </w:pPr>
            <w:r w:rsidRPr="1A6DFC8B">
              <w:t>-0.12</w:t>
            </w:r>
            <w:r w:rsidR="76721F0A" w:rsidRPr="1A6DFC8B">
              <w:t>m</w:t>
            </w:r>
          </w:p>
        </w:tc>
      </w:tr>
      <w:tr w:rsidR="1A6DFC8B" w14:paraId="6DF650EE"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47AA9252" w14:textId="66996559" w:rsidR="1A6DFC8B" w:rsidRDefault="1A6DFC8B" w:rsidP="1A6DFC8B">
            <w:r w:rsidRPr="1A6DFC8B">
              <w:t>Change in fuel poverty for older households (65+)</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6356093F" w14:textId="4CB47220" w:rsidR="1A6DFC8B" w:rsidRDefault="1A6DFC8B" w:rsidP="1A6DFC8B">
            <w:pPr>
              <w:jc w:val="center"/>
            </w:pPr>
            <w:r w:rsidRPr="1A6DFC8B">
              <w:t>-0.03</w:t>
            </w:r>
            <w:r w:rsidR="1C99E6F6"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EF5F5"/>
            <w:tcMar>
              <w:top w:w="30" w:type="dxa"/>
              <w:left w:w="45" w:type="dxa"/>
              <w:bottom w:w="30" w:type="dxa"/>
              <w:right w:w="45" w:type="dxa"/>
            </w:tcMar>
            <w:vAlign w:val="bottom"/>
          </w:tcPr>
          <w:p w14:paraId="204F7372" w14:textId="3BBDE5D4" w:rsidR="1A6DFC8B" w:rsidRDefault="1A6DFC8B" w:rsidP="1A6DFC8B">
            <w:pPr>
              <w:jc w:val="center"/>
            </w:pPr>
            <w:r w:rsidRPr="1A6DFC8B">
              <w:t>-0.12</w:t>
            </w:r>
            <w:r w:rsidR="503E5BCB"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23B13148" w14:textId="78B0953B" w:rsidR="1A6DFC8B" w:rsidRDefault="1A6DFC8B" w:rsidP="1A6DFC8B">
            <w:pPr>
              <w:jc w:val="center"/>
            </w:pPr>
            <w:r w:rsidRPr="1A6DFC8B">
              <w:t>-0.15</w:t>
            </w:r>
            <w:r w:rsidR="7A7F7040" w:rsidRPr="1A6DFC8B">
              <w:t>m</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0F9F4"/>
            <w:tcMar>
              <w:top w:w="30" w:type="dxa"/>
              <w:left w:w="45" w:type="dxa"/>
              <w:bottom w:w="30" w:type="dxa"/>
              <w:right w:w="45" w:type="dxa"/>
            </w:tcMar>
            <w:vAlign w:val="bottom"/>
          </w:tcPr>
          <w:p w14:paraId="530B86D1" w14:textId="7AFB668C" w:rsidR="1A6DFC8B" w:rsidRDefault="1A6DFC8B" w:rsidP="1A6DFC8B">
            <w:pPr>
              <w:jc w:val="center"/>
            </w:pPr>
            <w:r w:rsidRPr="1A6DFC8B">
              <w:t>-0.13</w:t>
            </w:r>
            <w:r w:rsidR="499B80E2" w:rsidRPr="1A6DFC8B">
              <w:t>m</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2749E0C" w14:textId="0ECEC233" w:rsidR="1A6DFC8B" w:rsidRDefault="1A6DFC8B" w:rsidP="1A6DFC8B">
            <w:pPr>
              <w:jc w:val="center"/>
            </w:pPr>
            <w:r w:rsidRPr="1A6DFC8B">
              <w:t>-0.13</w:t>
            </w:r>
            <w:r w:rsidR="588EFE57" w:rsidRPr="1A6DFC8B">
              <w:t>m</w:t>
            </w:r>
          </w:p>
        </w:tc>
      </w:tr>
      <w:tr w:rsidR="1A6DFC8B" w14:paraId="0E766EDC" w14:textId="77777777" w:rsidTr="1A6DFC8B">
        <w:trPr>
          <w:trHeight w:val="315"/>
        </w:trPr>
        <w:tc>
          <w:tcPr>
            <w:tcW w:w="169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7888A2CB" w14:textId="0FDFF295" w:rsidR="1A6DFC8B" w:rsidRDefault="1A6DFC8B" w:rsidP="1A6DFC8B">
            <w:r w:rsidRPr="1A6DFC8B">
              <w:t>Value for money i.e. Cost per household brought out of fuel poverty</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FFFDFD"/>
            <w:tcMar>
              <w:top w:w="30" w:type="dxa"/>
              <w:left w:w="45" w:type="dxa"/>
              <w:bottom w:w="30" w:type="dxa"/>
              <w:right w:w="45" w:type="dxa"/>
            </w:tcMar>
            <w:vAlign w:val="bottom"/>
          </w:tcPr>
          <w:p w14:paraId="1A7B3C39" w14:textId="20EC156D" w:rsidR="4D7B6A83" w:rsidRDefault="4D7B6A83" w:rsidP="1A6DFC8B">
            <w:pPr>
              <w:jc w:val="center"/>
            </w:pPr>
            <w:r w:rsidRPr="1A6DFC8B">
              <w:t>£</w:t>
            </w:r>
            <w:r w:rsidR="1A6DFC8B" w:rsidRPr="1A6DFC8B">
              <w:t>4,864</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3E84FBEF" w14:textId="5FED38EE" w:rsidR="3655ECF7" w:rsidRDefault="3655ECF7" w:rsidP="1A6DFC8B">
            <w:pPr>
              <w:jc w:val="center"/>
            </w:pPr>
            <w:r w:rsidRPr="1A6DFC8B">
              <w:t>£</w:t>
            </w:r>
            <w:r w:rsidR="1A6DFC8B" w:rsidRPr="1A6DFC8B">
              <w:t>4,182</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95D4B5"/>
            <w:tcMar>
              <w:top w:w="30" w:type="dxa"/>
              <w:left w:w="45" w:type="dxa"/>
              <w:bottom w:w="30" w:type="dxa"/>
              <w:right w:w="45" w:type="dxa"/>
            </w:tcMar>
            <w:vAlign w:val="bottom"/>
          </w:tcPr>
          <w:p w14:paraId="1487DB42" w14:textId="43D0ECB6" w:rsidR="1C7D63D5" w:rsidRDefault="1C7D63D5" w:rsidP="1A6DFC8B">
            <w:pPr>
              <w:jc w:val="center"/>
            </w:pPr>
            <w:r w:rsidRPr="1A6DFC8B">
              <w:t>£</w:t>
            </w:r>
            <w:r w:rsidR="1A6DFC8B" w:rsidRPr="1A6DFC8B">
              <w:t>4,400</w:t>
            </w:r>
          </w:p>
        </w:tc>
        <w:tc>
          <w:tcPr>
            <w:tcW w:w="1695"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22B34AEA" w14:textId="2D6963B1" w:rsidR="1C7D63D5" w:rsidRDefault="1C7D63D5" w:rsidP="1A6DFC8B">
            <w:pPr>
              <w:jc w:val="center"/>
            </w:pPr>
            <w:r w:rsidRPr="1A6DFC8B">
              <w:t>£</w:t>
            </w:r>
            <w:r w:rsidR="1A6DFC8B" w:rsidRPr="1A6DFC8B">
              <w:t>4,764</w:t>
            </w:r>
          </w:p>
        </w:tc>
        <w:tc>
          <w:tcPr>
            <w:tcW w:w="16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1443F5BC" w14:textId="5FFFDC8B" w:rsidR="085B28F2" w:rsidRDefault="085B28F2" w:rsidP="1A6DFC8B">
            <w:pPr>
              <w:jc w:val="center"/>
            </w:pPr>
            <w:r w:rsidRPr="1A6DFC8B">
              <w:t>£</w:t>
            </w:r>
            <w:r w:rsidR="1A6DFC8B" w:rsidRPr="1A6DFC8B">
              <w:t>10,412</w:t>
            </w:r>
          </w:p>
        </w:tc>
      </w:tr>
    </w:tbl>
    <w:p w14:paraId="6F120D8A" w14:textId="4F97CDAC" w:rsidR="1A6DFC8B" w:rsidRDefault="1A6DFC8B" w:rsidP="1A6DFC8B">
      <w:pPr>
        <w:spacing w:before="200" w:after="120"/>
        <w:rPr>
          <w:i/>
          <w:iCs/>
          <w:sz w:val="28"/>
          <w:szCs w:val="28"/>
        </w:rPr>
      </w:pPr>
    </w:p>
    <w:p w14:paraId="264AC665" w14:textId="20086F61" w:rsidR="001A5E58" w:rsidRPr="00344BBB" w:rsidRDefault="367B7873" w:rsidP="3C85173F">
      <w:pPr>
        <w:spacing w:before="200" w:after="120" w:line="348" w:lineRule="auto"/>
        <w:rPr>
          <w:sz w:val="24"/>
          <w:szCs w:val="24"/>
        </w:rPr>
      </w:pPr>
      <w:r w:rsidRPr="00344BBB">
        <w:rPr>
          <w:sz w:val="24"/>
          <w:szCs w:val="24"/>
        </w:rPr>
        <w:t>Source: Public First analysis of Living Cost and Food Survey (2022/23) uprated for 2025</w:t>
      </w:r>
    </w:p>
    <w:p w14:paraId="1DA9C79E" w14:textId="3921722A" w:rsidR="001A5E58" w:rsidRPr="00344BBB" w:rsidRDefault="3DE4D3F4" w:rsidP="1A6DFC8B">
      <w:pPr>
        <w:rPr>
          <w:sz w:val="24"/>
          <w:szCs w:val="24"/>
        </w:rPr>
      </w:pPr>
      <w:r w:rsidRPr="00344BBB">
        <w:rPr>
          <w:sz w:val="24"/>
          <w:szCs w:val="24"/>
        </w:rPr>
        <w:t xml:space="preserve">Notes: Due to time and self-reporting limitations in the Living Cost and Food Survey, the model does not reflect the exact uptake of the new WHD eligibility, which the government indicates now would benefit 6.1m policy winner households, compared to the modelled 5.3m by Public First. </w:t>
      </w:r>
      <w:r w:rsidR="2659DDB0" w:rsidRPr="00344BBB">
        <w:rPr>
          <w:color w:val="000000" w:themeColor="text1"/>
          <w:sz w:val="24"/>
          <w:szCs w:val="24"/>
        </w:rPr>
        <w:t>This in part explains the difference in cost of the expanded WHD which the government has costed at £1bn but is modelled as £0.8bn by Public First – this difference is also due in part to Industry Initiatives not being costed in Public First’s model.</w:t>
      </w:r>
      <w:r w:rsidR="2659DDB0" w:rsidRPr="00344BBB">
        <w:rPr>
          <w:sz w:val="24"/>
          <w:szCs w:val="24"/>
        </w:rPr>
        <w:t xml:space="preserve"> T</w:t>
      </w:r>
      <w:r w:rsidR="65558EC4" w:rsidRPr="00344BBB">
        <w:rPr>
          <w:sz w:val="24"/>
          <w:szCs w:val="24"/>
        </w:rPr>
        <w:t>he</w:t>
      </w:r>
      <w:r w:rsidRPr="00344BBB">
        <w:rPr>
          <w:sz w:val="24"/>
          <w:szCs w:val="24"/>
        </w:rPr>
        <w:t xml:space="preserve"> analysis provides an order of magnitude of the policy impact as well as a guide for the relative ranking of different policy models.</w:t>
      </w:r>
    </w:p>
    <w:p w14:paraId="684ABE88" w14:textId="1DCE05C8" w:rsidR="001A5E58" w:rsidRDefault="367B7873" w:rsidP="3C85173F">
      <w:pPr>
        <w:rPr>
          <w:i/>
          <w:iCs/>
          <w:sz w:val="24"/>
          <w:szCs w:val="24"/>
        </w:rPr>
      </w:pPr>
      <w:r w:rsidRPr="00344BBB">
        <w:rPr>
          <w:sz w:val="24"/>
          <w:szCs w:val="24"/>
        </w:rPr>
        <w:lastRenderedPageBreak/>
        <w:t>Using the WHD as a baseline, the model assumes support is funded by billpayers, thus reducing the net change in annual bills for policy winners by the average cost of the policy. The total policy cost also reflects the cost to the government if it were tax-funded. The rising block tariff model assumes a 50% reduction in per unit costs for the first 1.9mWh of electricity spending/first 7.9mWh of gas spending, with a 50% increase in per unit rates above this.</w:t>
      </w:r>
      <w:r w:rsidRPr="3C85173F">
        <w:rPr>
          <w:i/>
          <w:iCs/>
          <w:sz w:val="24"/>
          <w:szCs w:val="24"/>
        </w:rPr>
        <w:t xml:space="preserve"> </w:t>
      </w:r>
      <w:r w:rsidR="00F84F72">
        <w:br/>
      </w:r>
    </w:p>
    <w:p w14:paraId="0E551F85" w14:textId="6B0DE989" w:rsidR="001A5E58" w:rsidRDefault="497A9FAA" w:rsidP="3C85173F">
      <w:pPr>
        <w:rPr>
          <w:b/>
          <w:bCs/>
          <w:sz w:val="28"/>
          <w:szCs w:val="28"/>
        </w:rPr>
      </w:pPr>
      <w:r w:rsidRPr="3C85173F">
        <w:rPr>
          <w:b/>
          <w:bCs/>
          <w:sz w:val="28"/>
          <w:szCs w:val="28"/>
        </w:rPr>
        <w:t xml:space="preserve">Table </w:t>
      </w:r>
      <w:r w:rsidR="00790237">
        <w:rPr>
          <w:b/>
          <w:bCs/>
          <w:sz w:val="28"/>
          <w:szCs w:val="28"/>
        </w:rPr>
        <w:t>2</w:t>
      </w:r>
      <w:r w:rsidRPr="3C85173F">
        <w:rPr>
          <w:b/>
          <w:bCs/>
          <w:sz w:val="28"/>
          <w:szCs w:val="28"/>
        </w:rPr>
        <w:t>:</w:t>
      </w:r>
      <w:r w:rsidR="14645947" w:rsidRPr="3C85173F">
        <w:rPr>
          <w:b/>
          <w:bCs/>
          <w:sz w:val="28"/>
          <w:szCs w:val="28"/>
        </w:rPr>
        <w:t xml:space="preserve"> Summary of pros and cons for </w:t>
      </w:r>
      <w:r w:rsidR="6748261E" w:rsidRPr="3C85173F">
        <w:rPr>
          <w:b/>
          <w:bCs/>
          <w:sz w:val="28"/>
          <w:szCs w:val="28"/>
        </w:rPr>
        <w:t xml:space="preserve">each of the three primary models </w:t>
      </w:r>
    </w:p>
    <w:tbl>
      <w:tblPr>
        <w:tblStyle w:val="TableGrid"/>
        <w:tblW w:w="0" w:type="auto"/>
        <w:tblLayout w:type="fixed"/>
        <w:tblLook w:val="06A0" w:firstRow="1" w:lastRow="0" w:firstColumn="1" w:lastColumn="0" w:noHBand="1" w:noVBand="1"/>
      </w:tblPr>
      <w:tblGrid>
        <w:gridCol w:w="780"/>
        <w:gridCol w:w="3180"/>
        <w:gridCol w:w="3180"/>
        <w:gridCol w:w="3180"/>
      </w:tblGrid>
      <w:tr w:rsidR="3C85173F" w14:paraId="3A5C40E0" w14:textId="77777777" w:rsidTr="3C85173F">
        <w:trPr>
          <w:trHeight w:val="315"/>
        </w:trPr>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9900"/>
            <w:tcMar>
              <w:top w:w="30" w:type="dxa"/>
              <w:left w:w="45" w:type="dxa"/>
              <w:bottom w:w="30" w:type="dxa"/>
              <w:right w:w="45" w:type="dxa"/>
            </w:tcMar>
          </w:tcPr>
          <w:p w14:paraId="62B010BB" w14:textId="6306FA3C" w:rsidR="3C85173F" w:rsidRDefault="3C85173F" w:rsidP="3C85173F">
            <w:pPr>
              <w:rPr>
                <w:sz w:val="28"/>
                <w:szCs w:val="28"/>
              </w:rPr>
            </w:pPr>
          </w:p>
        </w:tc>
        <w:tc>
          <w:tcPr>
            <w:tcW w:w="318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center"/>
          </w:tcPr>
          <w:p w14:paraId="606803FF" w14:textId="1BC8441A" w:rsidR="3C85173F" w:rsidRPr="0024436B" w:rsidRDefault="3C85173F" w:rsidP="3C85173F">
            <w:pPr>
              <w:jc w:val="center"/>
              <w:rPr>
                <w:sz w:val="28"/>
                <w:szCs w:val="28"/>
              </w:rPr>
            </w:pPr>
            <w:r w:rsidRPr="0024436B">
              <w:rPr>
                <w:sz w:val="28"/>
                <w:szCs w:val="28"/>
              </w:rPr>
              <w:t>Payment-based discount</w:t>
            </w:r>
          </w:p>
        </w:tc>
        <w:tc>
          <w:tcPr>
            <w:tcW w:w="318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center"/>
          </w:tcPr>
          <w:p w14:paraId="2661F88F" w14:textId="5606351E" w:rsidR="457472F6" w:rsidRPr="0024436B" w:rsidRDefault="457472F6" w:rsidP="3C85173F">
            <w:pPr>
              <w:jc w:val="center"/>
              <w:rPr>
                <w:sz w:val="28"/>
                <w:szCs w:val="28"/>
              </w:rPr>
            </w:pPr>
            <w:r w:rsidRPr="0024436B">
              <w:rPr>
                <w:sz w:val="28"/>
                <w:szCs w:val="28"/>
              </w:rPr>
              <w:t xml:space="preserve">Unit rate discount </w:t>
            </w:r>
            <w:r w:rsidR="017CAA53" w:rsidRPr="0024436B">
              <w:rPr>
                <w:sz w:val="28"/>
                <w:szCs w:val="28"/>
              </w:rPr>
              <w:t>(%)</w:t>
            </w:r>
          </w:p>
          <w:p w14:paraId="43DC3141" w14:textId="6F3BEAD0" w:rsidR="3C85173F" w:rsidRPr="0024436B" w:rsidRDefault="3C85173F" w:rsidP="3C85173F">
            <w:pPr>
              <w:jc w:val="center"/>
              <w:rPr>
                <w:sz w:val="28"/>
                <w:szCs w:val="28"/>
              </w:rPr>
            </w:pPr>
          </w:p>
        </w:tc>
        <w:tc>
          <w:tcPr>
            <w:tcW w:w="318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center"/>
          </w:tcPr>
          <w:p w14:paraId="5ACB6BF7" w14:textId="0CDB928C" w:rsidR="457472F6" w:rsidRPr="0024436B" w:rsidRDefault="457472F6" w:rsidP="3C85173F">
            <w:pPr>
              <w:jc w:val="center"/>
              <w:rPr>
                <w:sz w:val="28"/>
                <w:szCs w:val="28"/>
              </w:rPr>
            </w:pPr>
            <w:r w:rsidRPr="0024436B">
              <w:rPr>
                <w:sz w:val="28"/>
                <w:szCs w:val="28"/>
              </w:rPr>
              <w:t>Rising block tariff</w:t>
            </w:r>
          </w:p>
        </w:tc>
      </w:tr>
      <w:tr w:rsidR="3C85173F" w14:paraId="2ECAF552" w14:textId="77777777" w:rsidTr="3C85173F">
        <w:trPr>
          <w:trHeight w:val="432"/>
        </w:trPr>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tcPr>
          <w:p w14:paraId="277CC7AF" w14:textId="62229FC4" w:rsidR="76AD6E93" w:rsidRDefault="76AD6E93" w:rsidP="3C85173F">
            <w:pPr>
              <w:rPr>
                <w:sz w:val="28"/>
                <w:szCs w:val="28"/>
              </w:rPr>
            </w:pPr>
            <w:r w:rsidRPr="3C85173F">
              <w:rPr>
                <w:sz w:val="28"/>
                <w:szCs w:val="28"/>
              </w:rPr>
              <w:t>Pros</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tcPr>
          <w:p w14:paraId="0C15061E" w14:textId="3C0936D8" w:rsidR="02C64901" w:rsidRDefault="02C64901" w:rsidP="3C85173F">
            <w:pPr>
              <w:pStyle w:val="ListParagraph"/>
              <w:numPr>
                <w:ilvl w:val="0"/>
                <w:numId w:val="4"/>
              </w:numPr>
              <w:spacing w:line="259" w:lineRule="auto"/>
              <w:ind w:left="360"/>
              <w:rPr>
                <w:sz w:val="28"/>
                <w:szCs w:val="28"/>
              </w:rPr>
            </w:pPr>
            <w:r w:rsidRPr="3C85173F">
              <w:rPr>
                <w:sz w:val="28"/>
                <w:szCs w:val="28"/>
              </w:rPr>
              <w:t>More cost-effective than unit rate discounts in terms of reducing the share of households in fuel poverty.</w:t>
            </w:r>
          </w:p>
          <w:p w14:paraId="0CC03DAC" w14:textId="24048ADF" w:rsidR="202D2805" w:rsidRDefault="202D2805" w:rsidP="3C85173F">
            <w:pPr>
              <w:pStyle w:val="ListParagraph"/>
              <w:numPr>
                <w:ilvl w:val="0"/>
                <w:numId w:val="4"/>
              </w:numPr>
              <w:spacing w:line="259" w:lineRule="auto"/>
              <w:ind w:left="360"/>
              <w:rPr>
                <w:sz w:val="28"/>
                <w:szCs w:val="28"/>
              </w:rPr>
            </w:pPr>
            <w:r w:rsidRPr="3C85173F">
              <w:rPr>
                <w:sz w:val="28"/>
                <w:szCs w:val="28"/>
              </w:rPr>
              <w:t>Easier to implement in an evolving market of dynamic pricing (via Time of Use tariffs) and smart technologies.</w:t>
            </w:r>
          </w:p>
          <w:p w14:paraId="7DECD991" w14:textId="0CDBDA70" w:rsidR="2D172D6C" w:rsidRDefault="2D172D6C" w:rsidP="3C85173F">
            <w:pPr>
              <w:pStyle w:val="ListParagraph"/>
              <w:numPr>
                <w:ilvl w:val="0"/>
                <w:numId w:val="4"/>
              </w:numPr>
              <w:spacing w:line="259" w:lineRule="auto"/>
              <w:ind w:left="360"/>
              <w:rPr>
                <w:sz w:val="28"/>
                <w:szCs w:val="28"/>
              </w:rPr>
            </w:pPr>
            <w:r w:rsidRPr="3C85173F">
              <w:rPr>
                <w:sz w:val="28"/>
                <w:szCs w:val="28"/>
              </w:rPr>
              <w:t>Builds on existing administrative mechanisms.</w:t>
            </w:r>
          </w:p>
        </w:tc>
        <w:tc>
          <w:tcPr>
            <w:tcW w:w="318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tcPr>
          <w:p w14:paraId="3BC4EEC7" w14:textId="701E1351" w:rsidR="2C6B2AAA" w:rsidRDefault="2C6B2AAA" w:rsidP="3C85173F">
            <w:pPr>
              <w:pStyle w:val="ListParagraph"/>
              <w:numPr>
                <w:ilvl w:val="0"/>
                <w:numId w:val="4"/>
              </w:numPr>
              <w:spacing w:line="259" w:lineRule="auto"/>
              <w:ind w:left="360"/>
              <w:rPr>
                <w:sz w:val="28"/>
                <w:szCs w:val="28"/>
              </w:rPr>
            </w:pPr>
            <w:r w:rsidRPr="3C85173F">
              <w:rPr>
                <w:sz w:val="28"/>
                <w:szCs w:val="28"/>
              </w:rPr>
              <w:t>Can p</w:t>
            </w:r>
            <w:r w:rsidR="02C64901" w:rsidRPr="3C85173F">
              <w:rPr>
                <w:sz w:val="28"/>
                <w:szCs w:val="28"/>
              </w:rPr>
              <w:t>rovide a deeper level of support than fixed payments</w:t>
            </w:r>
            <w:r w:rsidR="1E7A0831" w:rsidRPr="3C85173F">
              <w:rPr>
                <w:sz w:val="28"/>
                <w:szCs w:val="28"/>
              </w:rPr>
              <w:t>, creating</w:t>
            </w:r>
            <w:r w:rsidR="76775BED" w:rsidRPr="3C85173F">
              <w:rPr>
                <w:sz w:val="28"/>
                <w:szCs w:val="28"/>
              </w:rPr>
              <w:t xml:space="preserve"> </w:t>
            </w:r>
            <w:r w:rsidR="02A4C6FF" w:rsidRPr="3C85173F">
              <w:rPr>
                <w:sz w:val="28"/>
                <w:szCs w:val="28"/>
              </w:rPr>
              <w:t>greater</w:t>
            </w:r>
            <w:r w:rsidR="76775BED" w:rsidRPr="3C85173F">
              <w:rPr>
                <w:sz w:val="28"/>
                <w:szCs w:val="28"/>
              </w:rPr>
              <w:t xml:space="preserve"> winnings for “policy winners”</w:t>
            </w:r>
            <w:r w:rsidR="17D53614" w:rsidRPr="3C85173F">
              <w:rPr>
                <w:sz w:val="28"/>
                <w:szCs w:val="28"/>
              </w:rPr>
              <w:t>.</w:t>
            </w:r>
          </w:p>
          <w:p w14:paraId="2514DBD2" w14:textId="701BAA61" w:rsidR="40C0EB2E" w:rsidRDefault="40C0EB2E" w:rsidP="3C85173F">
            <w:pPr>
              <w:pStyle w:val="ListParagraph"/>
              <w:numPr>
                <w:ilvl w:val="0"/>
                <w:numId w:val="4"/>
              </w:numPr>
              <w:spacing w:line="259" w:lineRule="auto"/>
              <w:ind w:left="360"/>
              <w:rPr>
                <w:sz w:val="28"/>
                <w:szCs w:val="28"/>
              </w:rPr>
            </w:pPr>
            <w:r w:rsidRPr="3C85173F">
              <w:rPr>
                <w:sz w:val="28"/>
                <w:szCs w:val="28"/>
              </w:rPr>
              <w:t xml:space="preserve">Lifts a </w:t>
            </w:r>
            <w:r w:rsidR="6AA027BF" w:rsidRPr="3C85173F">
              <w:rPr>
                <w:sz w:val="28"/>
                <w:szCs w:val="28"/>
              </w:rPr>
              <w:t xml:space="preserve">relatively </w:t>
            </w:r>
            <w:r w:rsidRPr="3C85173F">
              <w:rPr>
                <w:sz w:val="28"/>
                <w:szCs w:val="28"/>
              </w:rPr>
              <w:t xml:space="preserve">large number of disabled people out of </w:t>
            </w:r>
            <w:r w:rsidR="5D870AB3" w:rsidRPr="3C85173F">
              <w:rPr>
                <w:sz w:val="28"/>
                <w:szCs w:val="28"/>
              </w:rPr>
              <w:t>fuel poverty.</w:t>
            </w:r>
          </w:p>
        </w:tc>
        <w:tc>
          <w:tcPr>
            <w:tcW w:w="3180"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tcPr>
          <w:p w14:paraId="23A0C573" w14:textId="3B7B84E7" w:rsidR="1A281C16" w:rsidRDefault="1A281C16" w:rsidP="3C85173F">
            <w:pPr>
              <w:pStyle w:val="ListParagraph"/>
              <w:numPr>
                <w:ilvl w:val="0"/>
                <w:numId w:val="4"/>
              </w:numPr>
              <w:spacing w:line="259" w:lineRule="auto"/>
              <w:ind w:left="360"/>
              <w:rPr>
                <w:sz w:val="28"/>
                <w:szCs w:val="28"/>
              </w:rPr>
            </w:pPr>
            <w:r w:rsidRPr="3C85173F">
              <w:rPr>
                <w:sz w:val="28"/>
                <w:szCs w:val="28"/>
              </w:rPr>
              <w:t>Creates a relatively large number of policy winners and a relatively low number of policy losers</w:t>
            </w:r>
            <w:r w:rsidR="0A162EE4" w:rsidRPr="3C85173F">
              <w:rPr>
                <w:sz w:val="28"/>
                <w:szCs w:val="28"/>
              </w:rPr>
              <w:t>.</w:t>
            </w:r>
          </w:p>
          <w:p w14:paraId="276D8811" w14:textId="01CDB42C" w:rsidR="2F52D129" w:rsidRDefault="2F52D129" w:rsidP="3C85173F">
            <w:pPr>
              <w:pStyle w:val="ListParagraph"/>
              <w:numPr>
                <w:ilvl w:val="0"/>
                <w:numId w:val="4"/>
              </w:numPr>
              <w:spacing w:line="259" w:lineRule="auto"/>
              <w:ind w:left="360"/>
              <w:rPr>
                <w:sz w:val="28"/>
                <w:szCs w:val="28"/>
              </w:rPr>
            </w:pPr>
            <w:r w:rsidRPr="3C85173F">
              <w:rPr>
                <w:sz w:val="28"/>
                <w:szCs w:val="28"/>
              </w:rPr>
              <w:t>Reduces fuel poverty rates in older people</w:t>
            </w:r>
            <w:r w:rsidR="16709635" w:rsidRPr="3C85173F">
              <w:rPr>
                <w:sz w:val="28"/>
                <w:szCs w:val="28"/>
              </w:rPr>
              <w:t>.</w:t>
            </w:r>
          </w:p>
          <w:p w14:paraId="74D304C5" w14:textId="0015F298" w:rsidR="2E842DA2" w:rsidRDefault="2E842DA2" w:rsidP="3C85173F">
            <w:pPr>
              <w:pStyle w:val="ListParagraph"/>
              <w:numPr>
                <w:ilvl w:val="0"/>
                <w:numId w:val="4"/>
              </w:numPr>
              <w:spacing w:line="259" w:lineRule="auto"/>
              <w:ind w:left="360"/>
              <w:rPr>
                <w:sz w:val="28"/>
                <w:szCs w:val="28"/>
              </w:rPr>
            </w:pPr>
            <w:r w:rsidRPr="3C85173F">
              <w:rPr>
                <w:sz w:val="28"/>
                <w:szCs w:val="28"/>
              </w:rPr>
              <w:t>Can incentivise demand reduction</w:t>
            </w:r>
            <w:r w:rsidR="0AEA2303" w:rsidRPr="3C85173F">
              <w:rPr>
                <w:sz w:val="28"/>
                <w:szCs w:val="28"/>
              </w:rPr>
              <w:t xml:space="preserve"> for those who are able to.</w:t>
            </w:r>
          </w:p>
        </w:tc>
      </w:tr>
      <w:tr w:rsidR="3C85173F" w14:paraId="23137CEE" w14:textId="77777777" w:rsidTr="3C85173F">
        <w:trPr>
          <w:trHeight w:val="432"/>
        </w:trPr>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tcPr>
          <w:p w14:paraId="55DBD244" w14:textId="364ACE33" w:rsidR="70069138" w:rsidRDefault="70069138" w:rsidP="3C85173F">
            <w:pPr>
              <w:spacing w:line="259" w:lineRule="auto"/>
              <w:rPr>
                <w:sz w:val="28"/>
                <w:szCs w:val="28"/>
              </w:rPr>
            </w:pPr>
            <w:r w:rsidRPr="3C85173F">
              <w:rPr>
                <w:sz w:val="28"/>
                <w:szCs w:val="28"/>
              </w:rPr>
              <w:t>Cons</w:t>
            </w:r>
          </w:p>
        </w:tc>
        <w:tc>
          <w:tcPr>
            <w:tcW w:w="318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tcPr>
          <w:p w14:paraId="53C56875" w14:textId="7CEBE5FD" w:rsidR="21096EC5" w:rsidRDefault="21096EC5" w:rsidP="3C85173F">
            <w:pPr>
              <w:pStyle w:val="ListParagraph"/>
              <w:numPr>
                <w:ilvl w:val="0"/>
                <w:numId w:val="2"/>
              </w:numPr>
              <w:spacing w:line="259" w:lineRule="auto"/>
              <w:ind w:left="360"/>
              <w:rPr>
                <w:sz w:val="28"/>
                <w:szCs w:val="28"/>
              </w:rPr>
            </w:pPr>
            <w:r w:rsidRPr="3C85173F">
              <w:rPr>
                <w:sz w:val="28"/>
                <w:szCs w:val="28"/>
              </w:rPr>
              <w:t>Depending on how the value is designed, a fixed payment may not be linked to energy consumption or prices,</w:t>
            </w:r>
            <w:r w:rsidR="27815F0D" w:rsidRPr="3C85173F">
              <w:rPr>
                <w:sz w:val="28"/>
                <w:szCs w:val="28"/>
              </w:rPr>
              <w:t xml:space="preserve"> either providing inadequate support as energy prices increase or less cost-effective support as prices fall.</w:t>
            </w:r>
          </w:p>
        </w:tc>
        <w:tc>
          <w:tcPr>
            <w:tcW w:w="318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tcPr>
          <w:p w14:paraId="7A332C2D" w14:textId="6A74D6E6" w:rsidR="160F8956" w:rsidRDefault="160F8956" w:rsidP="3C85173F">
            <w:pPr>
              <w:pStyle w:val="ListParagraph"/>
              <w:numPr>
                <w:ilvl w:val="0"/>
                <w:numId w:val="3"/>
              </w:numPr>
              <w:spacing w:line="259" w:lineRule="auto"/>
              <w:ind w:left="360"/>
              <w:rPr>
                <w:sz w:val="28"/>
                <w:szCs w:val="28"/>
              </w:rPr>
            </w:pPr>
            <w:r w:rsidRPr="3C85173F">
              <w:rPr>
                <w:sz w:val="28"/>
                <w:szCs w:val="28"/>
              </w:rPr>
              <w:t>Wealthier WHD-eligible groups benefit from this depth more so than poorer or disabled households.</w:t>
            </w:r>
          </w:p>
          <w:p w14:paraId="13FB07D0" w14:textId="7C9856D2" w:rsidR="060305C1" w:rsidRDefault="060305C1" w:rsidP="3C85173F">
            <w:pPr>
              <w:pStyle w:val="ListParagraph"/>
              <w:numPr>
                <w:ilvl w:val="0"/>
                <w:numId w:val="3"/>
              </w:numPr>
              <w:spacing w:line="259" w:lineRule="auto"/>
              <w:ind w:left="360"/>
              <w:rPr>
                <w:sz w:val="28"/>
                <w:szCs w:val="28"/>
              </w:rPr>
            </w:pPr>
            <w:r w:rsidRPr="3C85173F">
              <w:rPr>
                <w:sz w:val="28"/>
                <w:szCs w:val="28"/>
              </w:rPr>
              <w:t>Complex to design with Time of Use tariffs and can create perverse incentives with green and smart technologies.</w:t>
            </w:r>
          </w:p>
        </w:tc>
        <w:tc>
          <w:tcPr>
            <w:tcW w:w="3180"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tcPr>
          <w:p w14:paraId="7BFD6017" w14:textId="0B6A5D88" w:rsidR="7536EC83" w:rsidRDefault="7536EC83" w:rsidP="3C85173F">
            <w:pPr>
              <w:pStyle w:val="ListParagraph"/>
              <w:numPr>
                <w:ilvl w:val="0"/>
                <w:numId w:val="5"/>
              </w:numPr>
              <w:rPr>
                <w:sz w:val="28"/>
                <w:szCs w:val="28"/>
              </w:rPr>
            </w:pPr>
            <w:r w:rsidRPr="3C85173F">
              <w:rPr>
                <w:sz w:val="28"/>
                <w:szCs w:val="28"/>
              </w:rPr>
              <w:t>Generates significant bill increases for “policy losers”</w:t>
            </w:r>
            <w:r w:rsidR="13C20165" w:rsidRPr="3C85173F">
              <w:rPr>
                <w:sz w:val="28"/>
                <w:szCs w:val="28"/>
              </w:rPr>
              <w:t>, including</w:t>
            </w:r>
            <w:r w:rsidRPr="3C85173F">
              <w:rPr>
                <w:sz w:val="28"/>
                <w:szCs w:val="28"/>
              </w:rPr>
              <w:t xml:space="preserve"> </w:t>
            </w:r>
            <w:r w:rsidR="479DD0F8" w:rsidRPr="3C85173F">
              <w:rPr>
                <w:sz w:val="28"/>
                <w:szCs w:val="28"/>
              </w:rPr>
              <w:t>vulnerable</w:t>
            </w:r>
            <w:r w:rsidRPr="3C85173F">
              <w:rPr>
                <w:sz w:val="28"/>
                <w:szCs w:val="28"/>
              </w:rPr>
              <w:t xml:space="preserve"> </w:t>
            </w:r>
            <w:r w:rsidR="7A55FC60" w:rsidRPr="3C85173F">
              <w:rPr>
                <w:sz w:val="28"/>
                <w:szCs w:val="28"/>
              </w:rPr>
              <w:t>customer</w:t>
            </w:r>
            <w:r w:rsidRPr="3C85173F">
              <w:rPr>
                <w:sz w:val="28"/>
                <w:szCs w:val="28"/>
              </w:rPr>
              <w:t>s</w:t>
            </w:r>
            <w:r w:rsidR="0916B892" w:rsidRPr="3C85173F">
              <w:rPr>
                <w:sz w:val="28"/>
                <w:szCs w:val="28"/>
              </w:rPr>
              <w:t xml:space="preserve"> who are unable to change their consumption patterns.</w:t>
            </w:r>
          </w:p>
          <w:p w14:paraId="73AC0EB6" w14:textId="02E63185" w:rsidR="14059EA6" w:rsidRDefault="14059EA6" w:rsidP="3C85173F">
            <w:pPr>
              <w:pStyle w:val="ListParagraph"/>
              <w:numPr>
                <w:ilvl w:val="0"/>
                <w:numId w:val="5"/>
              </w:numPr>
              <w:spacing w:line="259" w:lineRule="auto"/>
              <w:rPr>
                <w:sz w:val="28"/>
                <w:szCs w:val="28"/>
              </w:rPr>
            </w:pPr>
            <w:r w:rsidRPr="3C85173F">
              <w:rPr>
                <w:sz w:val="28"/>
                <w:szCs w:val="28"/>
              </w:rPr>
              <w:t>Creates large losses for “policy losers”</w:t>
            </w:r>
            <w:r w:rsidR="42FD2BCA" w:rsidRPr="3C85173F">
              <w:rPr>
                <w:sz w:val="28"/>
                <w:szCs w:val="28"/>
              </w:rPr>
              <w:t>.</w:t>
            </w:r>
          </w:p>
          <w:p w14:paraId="5CF5FA3C" w14:textId="336B168F" w:rsidR="3C85173F" w:rsidRDefault="3C85173F" w:rsidP="3C85173F">
            <w:pPr>
              <w:pStyle w:val="ListParagraph"/>
              <w:spacing w:line="259" w:lineRule="auto"/>
              <w:ind w:left="360" w:hanging="360"/>
              <w:rPr>
                <w:sz w:val="28"/>
                <w:szCs w:val="28"/>
              </w:rPr>
            </w:pPr>
          </w:p>
        </w:tc>
      </w:tr>
    </w:tbl>
    <w:p w14:paraId="73E5EA5F" w14:textId="58AA86B9" w:rsidR="001A5E58" w:rsidRDefault="00F84F72" w:rsidP="3C85173F">
      <w:r>
        <w:br w:type="page"/>
      </w:r>
    </w:p>
    <w:p w14:paraId="79AF589A" w14:textId="16C86E52" w:rsidR="001A5E58" w:rsidRPr="00A4313C" w:rsidRDefault="3299063D" w:rsidP="1A6DFC8B">
      <w:pPr>
        <w:pStyle w:val="Heading3"/>
        <w:rPr>
          <w:color w:val="3275C8"/>
          <w:sz w:val="32"/>
          <w:szCs w:val="32"/>
        </w:rPr>
      </w:pPr>
      <w:bookmarkStart w:id="16" w:name="_tt5d9254t13s"/>
      <w:bookmarkEnd w:id="16"/>
      <w:r w:rsidRPr="00A4313C">
        <w:rPr>
          <w:color w:val="3275C8"/>
          <w:sz w:val="32"/>
          <w:szCs w:val="32"/>
        </w:rPr>
        <w:lastRenderedPageBreak/>
        <w:t>Rising block tariff</w:t>
      </w:r>
    </w:p>
    <w:p w14:paraId="56E711C4" w14:textId="77777777" w:rsidR="001A5E58" w:rsidRDefault="5A4A5C02">
      <w:pPr>
        <w:rPr>
          <w:sz w:val="28"/>
          <w:szCs w:val="28"/>
        </w:rPr>
      </w:pPr>
      <w:r w:rsidRPr="1A6DFC8B">
        <w:rPr>
          <w:sz w:val="28"/>
          <w:szCs w:val="28"/>
        </w:rPr>
        <w:t>Public First’s model of a rising block tariff assumes a 50% reduction in per unit energy costs for the first 1.9mWh of electricity spending/first 7.9mWh of gas spending (roughly equivalent to the first £500 of electricity and first £500 of gas spending for households currently). There is a 50% increase in current unit rates above this.</w:t>
      </w:r>
    </w:p>
    <w:p w14:paraId="79A175EC" w14:textId="5EA877F0" w:rsidR="001A5E58" w:rsidRDefault="5A4A5C02">
      <w:pPr>
        <w:rPr>
          <w:sz w:val="28"/>
          <w:szCs w:val="28"/>
        </w:rPr>
      </w:pPr>
      <w:r w:rsidRPr="1A6DFC8B">
        <w:rPr>
          <w:sz w:val="28"/>
          <w:szCs w:val="28"/>
        </w:rPr>
        <w:t>A rising block tariff generates significant bill increases for ‘policy losers’. Public First analysis indicates that around 10 million households would see their energy bills increase by an average of £3</w:t>
      </w:r>
      <w:r w:rsidR="0BB90752" w:rsidRPr="1A6DFC8B">
        <w:rPr>
          <w:sz w:val="28"/>
          <w:szCs w:val="28"/>
        </w:rPr>
        <w:t>81</w:t>
      </w:r>
      <w:r w:rsidRPr="1A6DFC8B">
        <w:rPr>
          <w:sz w:val="28"/>
          <w:szCs w:val="28"/>
        </w:rPr>
        <w:t xml:space="preserve"> a year, while around 19 million households’ bills would decrease by an average of £20</w:t>
      </w:r>
      <w:r w:rsidR="7A4CD4B8" w:rsidRPr="1A6DFC8B">
        <w:rPr>
          <w:sz w:val="28"/>
          <w:szCs w:val="28"/>
        </w:rPr>
        <w:t>3</w:t>
      </w:r>
      <w:r w:rsidRPr="1A6DFC8B">
        <w:rPr>
          <w:sz w:val="28"/>
          <w:szCs w:val="28"/>
        </w:rPr>
        <w:t xml:space="preserve"> a year. </w:t>
      </w:r>
    </w:p>
    <w:p w14:paraId="4235EA40" w14:textId="3FE067DD" w:rsidR="001A5E58" w:rsidRDefault="3299063D" w:rsidP="1A6DFC8B">
      <w:pPr>
        <w:rPr>
          <w:sz w:val="28"/>
          <w:szCs w:val="28"/>
          <w:highlight w:val="yellow"/>
        </w:rPr>
      </w:pPr>
      <w:r w:rsidRPr="1A6DFC8B">
        <w:rPr>
          <w:sz w:val="28"/>
          <w:szCs w:val="28"/>
        </w:rPr>
        <w:t xml:space="preserve">As this model rewards low energy consumption, its distributional effects are mixed - all income, age and disability groups include households that would be positively and negatively impacted. For example, under a rising block tariff, around a third of all income groups would see their bills increase and a similar proportion of </w:t>
      </w:r>
      <w:r w:rsidR="07E2107A" w:rsidRPr="1A6DFC8B">
        <w:rPr>
          <w:sz w:val="28"/>
          <w:szCs w:val="28"/>
        </w:rPr>
        <w:t xml:space="preserve">disabled </w:t>
      </w:r>
      <w:r w:rsidRPr="1A6DFC8B">
        <w:rPr>
          <w:sz w:val="28"/>
          <w:szCs w:val="28"/>
        </w:rPr>
        <w:t xml:space="preserve">households would also face increases. </w:t>
      </w:r>
    </w:p>
    <w:p w14:paraId="3039F615" w14:textId="3DA96D8D" w:rsidR="367B7873" w:rsidRDefault="3299063D" w:rsidP="1A6DFC8B">
      <w:pPr>
        <w:rPr>
          <w:sz w:val="28"/>
          <w:szCs w:val="28"/>
          <w:highlight w:val="yellow"/>
        </w:rPr>
      </w:pPr>
      <w:r w:rsidRPr="1A6DFC8B">
        <w:rPr>
          <w:sz w:val="28"/>
          <w:szCs w:val="28"/>
        </w:rPr>
        <w:t xml:space="preserve">Figure </w:t>
      </w:r>
      <w:r w:rsidR="1472AC9E" w:rsidRPr="1A6DFC8B">
        <w:rPr>
          <w:sz w:val="28"/>
          <w:szCs w:val="28"/>
        </w:rPr>
        <w:t>9</w:t>
      </w:r>
      <w:r w:rsidRPr="1A6DFC8B">
        <w:rPr>
          <w:sz w:val="28"/>
          <w:szCs w:val="28"/>
        </w:rPr>
        <w:t xml:space="preserve"> illustrates this, whereby ’policy losers’ on the lowest incomes would see an average bill increase of over £400, a similar level as those on the highest incomes. ‘Policy losing’ </w:t>
      </w:r>
      <w:r w:rsidR="29AD3E80" w:rsidRPr="1A6DFC8B">
        <w:rPr>
          <w:sz w:val="28"/>
          <w:szCs w:val="28"/>
        </w:rPr>
        <w:t xml:space="preserve">disabled </w:t>
      </w:r>
      <w:r w:rsidRPr="1A6DFC8B">
        <w:rPr>
          <w:sz w:val="28"/>
          <w:szCs w:val="28"/>
        </w:rPr>
        <w:t>households would also see their bills increase by around £</w:t>
      </w:r>
      <w:r w:rsidR="7FB39045" w:rsidRPr="1A6DFC8B">
        <w:rPr>
          <w:sz w:val="28"/>
          <w:szCs w:val="28"/>
        </w:rPr>
        <w:t>395</w:t>
      </w:r>
      <w:r w:rsidRPr="1A6DFC8B">
        <w:rPr>
          <w:sz w:val="28"/>
          <w:szCs w:val="28"/>
        </w:rPr>
        <w:t xml:space="preserve">, slightly </w:t>
      </w:r>
      <w:r w:rsidR="6CBA06F6" w:rsidRPr="1A6DFC8B">
        <w:rPr>
          <w:sz w:val="28"/>
          <w:szCs w:val="28"/>
        </w:rPr>
        <w:t xml:space="preserve">more </w:t>
      </w:r>
      <w:r w:rsidRPr="1A6DFC8B">
        <w:rPr>
          <w:sz w:val="28"/>
          <w:szCs w:val="28"/>
        </w:rPr>
        <w:t xml:space="preserve">than ‘policy losing’ </w:t>
      </w:r>
      <w:r w:rsidR="1B1929A2" w:rsidRPr="1A6DFC8B">
        <w:rPr>
          <w:sz w:val="28"/>
          <w:szCs w:val="28"/>
        </w:rPr>
        <w:t xml:space="preserve">non-disabled </w:t>
      </w:r>
      <w:r w:rsidRPr="1A6DFC8B">
        <w:rPr>
          <w:sz w:val="28"/>
          <w:szCs w:val="28"/>
        </w:rPr>
        <w:t>households (</w:t>
      </w:r>
      <w:r w:rsidR="5DFDF721" w:rsidRPr="1A6DFC8B">
        <w:rPr>
          <w:sz w:val="28"/>
          <w:szCs w:val="28"/>
        </w:rPr>
        <w:t>£370</w:t>
      </w:r>
      <w:r w:rsidRPr="1A6DFC8B">
        <w:rPr>
          <w:sz w:val="28"/>
          <w:szCs w:val="28"/>
        </w:rPr>
        <w:t>). Additionally, middle-aged households, where the household reference person is aged 35-</w:t>
      </w:r>
      <w:r w:rsidR="3355BAE1" w:rsidRPr="1A6DFC8B">
        <w:rPr>
          <w:sz w:val="28"/>
          <w:szCs w:val="28"/>
        </w:rPr>
        <w:t>49</w:t>
      </w:r>
      <w:r w:rsidRPr="1A6DFC8B">
        <w:rPr>
          <w:sz w:val="28"/>
          <w:szCs w:val="28"/>
        </w:rPr>
        <w:t xml:space="preserve"> and 50-6</w:t>
      </w:r>
      <w:r w:rsidR="40296F2C" w:rsidRPr="1A6DFC8B">
        <w:rPr>
          <w:sz w:val="28"/>
          <w:szCs w:val="28"/>
        </w:rPr>
        <w:t>4</w:t>
      </w:r>
      <w:r w:rsidRPr="1A6DFC8B">
        <w:rPr>
          <w:sz w:val="28"/>
          <w:szCs w:val="28"/>
        </w:rPr>
        <w:t xml:space="preserve"> would see bigger increases in their bills (around £400) than both younger and older households (</w:t>
      </w:r>
      <w:r w:rsidR="4EC50250" w:rsidRPr="1A6DFC8B">
        <w:rPr>
          <w:sz w:val="28"/>
          <w:szCs w:val="28"/>
        </w:rPr>
        <w:t>over</w:t>
      </w:r>
      <w:r w:rsidRPr="1A6DFC8B">
        <w:rPr>
          <w:sz w:val="28"/>
          <w:szCs w:val="28"/>
        </w:rPr>
        <w:t xml:space="preserve"> £300).</w:t>
      </w:r>
      <w:r w:rsidR="367B7873">
        <w:br/>
      </w:r>
    </w:p>
    <w:p w14:paraId="122A9E16" w14:textId="424FA43E" w:rsidR="3C85173F" w:rsidRDefault="3C85173F">
      <w:r>
        <w:br w:type="page"/>
      </w:r>
    </w:p>
    <w:p w14:paraId="207989C3" w14:textId="3F4C6A3C" w:rsidR="001A5E58" w:rsidRDefault="5A4A5C02" w:rsidP="1A6DFC8B">
      <w:pPr>
        <w:spacing w:before="200" w:after="120"/>
        <w:rPr>
          <w:b/>
          <w:bCs/>
          <w:sz w:val="28"/>
          <w:szCs w:val="28"/>
        </w:rPr>
      </w:pPr>
      <w:r w:rsidRPr="1A6DFC8B">
        <w:rPr>
          <w:b/>
          <w:bCs/>
          <w:sz w:val="28"/>
          <w:szCs w:val="28"/>
        </w:rPr>
        <w:lastRenderedPageBreak/>
        <w:t xml:space="preserve">Figure </w:t>
      </w:r>
      <w:r w:rsidR="2F4650BC" w:rsidRPr="1A6DFC8B">
        <w:rPr>
          <w:b/>
          <w:bCs/>
          <w:sz w:val="28"/>
          <w:szCs w:val="28"/>
        </w:rPr>
        <w:t>9</w:t>
      </w:r>
      <w:r w:rsidRPr="1A6DFC8B">
        <w:rPr>
          <w:b/>
          <w:bCs/>
          <w:sz w:val="28"/>
          <w:szCs w:val="28"/>
        </w:rPr>
        <w:t xml:space="preserve">: Under a rising block tariff, the poorest households with high energy needs could see bills rise by over £400. </w:t>
      </w:r>
      <w:r w:rsidRPr="00344BBB">
        <w:rPr>
          <w:sz w:val="28"/>
          <w:szCs w:val="28"/>
        </w:rPr>
        <w:t>The average change in annual energy bill (£) from a rising block tariff</w:t>
      </w:r>
      <w:r w:rsidR="1A033A3E" w:rsidRPr="00344BBB">
        <w:rPr>
          <w:sz w:val="28"/>
          <w:szCs w:val="28"/>
        </w:rPr>
        <w:t xml:space="preserve">, by non-mutually exclusive variables of </w:t>
      </w:r>
      <w:r w:rsidRPr="00344BBB">
        <w:rPr>
          <w:sz w:val="28"/>
          <w:szCs w:val="28"/>
        </w:rPr>
        <w:t>disposable income decile, disability status, and age</w:t>
      </w:r>
      <w:r w:rsidR="7EEDA8B9" w:rsidRPr="00344BBB">
        <w:rPr>
          <w:sz w:val="28"/>
          <w:szCs w:val="28"/>
        </w:rPr>
        <w:t>, GB</w:t>
      </w:r>
      <w:r w:rsidRPr="00344BBB">
        <w:rPr>
          <w:sz w:val="28"/>
          <w:szCs w:val="28"/>
        </w:rPr>
        <w:t>.</w:t>
      </w:r>
    </w:p>
    <w:p w14:paraId="5D2928F8" w14:textId="3F6A4B41" w:rsidR="001A5E58" w:rsidRDefault="00D95310" w:rsidP="1A6DFC8B">
      <w:pPr>
        <w:spacing w:before="200" w:after="120"/>
      </w:pPr>
      <w:r>
        <w:rPr>
          <w:noProof/>
        </w:rPr>
        <w:drawing>
          <wp:inline distT="0" distB="0" distL="0" distR="0" wp14:anchorId="05644B21" wp14:editId="026A523A">
            <wp:extent cx="6479540" cy="4015105"/>
            <wp:effectExtent l="0" t="0" r="0" b="0"/>
            <wp:docPr id="2033958043" name="Picture 7" descr="Bar chart showing average change in annual energy bills under a rising block tariff, by income, disability, and age. The poorest households with high usage would face average increases over £400. Disabled households that lose out would see bills rise by about £395, compared to £370 for non-disabled households. Middle-aged households (35–64) see larger increases (around £400) than younger or older groups (abou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58043" name="Picture 7" descr="Bar chart showing average change in annual energy bills under a rising block tariff, by income, disability, and age. The poorest households with high usage would face average increases over £400. Disabled households that lose out would see bills rise by about £395, compared to £370 for non-disabled households. Middle-aged households (35–64) see larger increases (around £400) than younger or older groups (about £3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p>
    <w:p w14:paraId="71A6BECD" w14:textId="2497E6F8" w:rsidR="001A5E58" w:rsidRDefault="001A5E58"/>
    <w:p w14:paraId="24F2AAD2" w14:textId="77777777" w:rsidR="001A5E58" w:rsidRPr="00344BBB" w:rsidRDefault="00F84F72">
      <w:pPr>
        <w:spacing w:before="200" w:after="120" w:line="348" w:lineRule="auto"/>
        <w:rPr>
          <w:iCs/>
          <w:sz w:val="24"/>
          <w:szCs w:val="24"/>
        </w:rPr>
      </w:pPr>
      <w:r w:rsidRPr="00344BBB">
        <w:rPr>
          <w:iCs/>
          <w:sz w:val="24"/>
          <w:szCs w:val="24"/>
        </w:rPr>
        <w:t>Source: Public First analysis of Living Cost and Food Survey (2022/23) uprated for 2025</w:t>
      </w:r>
    </w:p>
    <w:p w14:paraId="0C9006F2" w14:textId="77777777" w:rsidR="001A5E58" w:rsidRDefault="00F84F72">
      <w:pPr>
        <w:spacing w:before="200" w:after="120"/>
        <w:rPr>
          <w:b/>
          <w:sz w:val="28"/>
          <w:szCs w:val="28"/>
        </w:rPr>
      </w:pPr>
      <w:r>
        <w:br w:type="page"/>
      </w:r>
    </w:p>
    <w:p w14:paraId="0C671E6D" w14:textId="1BFA06FC" w:rsidR="001A5E58" w:rsidRDefault="5A4A5C02" w:rsidP="1A6DFC8B">
      <w:pPr>
        <w:spacing w:before="200" w:after="120"/>
        <w:rPr>
          <w:b/>
          <w:bCs/>
          <w:sz w:val="28"/>
          <w:szCs w:val="28"/>
        </w:rPr>
      </w:pPr>
      <w:r w:rsidRPr="1A6DFC8B">
        <w:rPr>
          <w:b/>
          <w:bCs/>
          <w:sz w:val="28"/>
          <w:szCs w:val="28"/>
        </w:rPr>
        <w:lastRenderedPageBreak/>
        <w:t xml:space="preserve">Figure </w:t>
      </w:r>
      <w:r w:rsidR="2F4650BC" w:rsidRPr="1A6DFC8B">
        <w:rPr>
          <w:b/>
          <w:bCs/>
          <w:sz w:val="28"/>
          <w:szCs w:val="28"/>
        </w:rPr>
        <w:t>10</w:t>
      </w:r>
      <w:r w:rsidRPr="1A6DFC8B">
        <w:rPr>
          <w:b/>
          <w:bCs/>
          <w:sz w:val="28"/>
          <w:szCs w:val="28"/>
        </w:rPr>
        <w:t xml:space="preserve">: Under a rising block tariff, over a third of low-income and disabled households would see their bills increase. </w:t>
      </w:r>
      <w:r w:rsidRPr="00344BBB">
        <w:rPr>
          <w:sz w:val="28"/>
          <w:szCs w:val="28"/>
        </w:rPr>
        <w:t>Percentage of the group losing out from a rising block tariff</w:t>
      </w:r>
      <w:r w:rsidR="1A033A3E" w:rsidRPr="00344BBB">
        <w:rPr>
          <w:sz w:val="28"/>
          <w:szCs w:val="28"/>
        </w:rPr>
        <w:t xml:space="preserve">, by non-mutually exclusive variables of </w:t>
      </w:r>
      <w:r w:rsidRPr="00344BBB">
        <w:rPr>
          <w:sz w:val="28"/>
          <w:szCs w:val="28"/>
        </w:rPr>
        <w:t>disposable income decile, disability status, and age</w:t>
      </w:r>
      <w:r w:rsidR="6ACBD57E" w:rsidRPr="00344BBB">
        <w:rPr>
          <w:sz w:val="28"/>
          <w:szCs w:val="28"/>
        </w:rPr>
        <w:t>, GB</w:t>
      </w:r>
      <w:r w:rsidRPr="00344BBB">
        <w:rPr>
          <w:sz w:val="28"/>
          <w:szCs w:val="28"/>
        </w:rPr>
        <w:t>.</w:t>
      </w:r>
    </w:p>
    <w:p w14:paraId="6B06EB06" w14:textId="16862788" w:rsidR="001A5E58" w:rsidRDefault="00347EF8">
      <w:r>
        <w:rPr>
          <w:noProof/>
        </w:rPr>
        <w:drawing>
          <wp:inline distT="0" distB="0" distL="0" distR="0" wp14:anchorId="6ABEA1FD" wp14:editId="70B3E296">
            <wp:extent cx="6479540" cy="4015105"/>
            <wp:effectExtent l="0" t="0" r="0" b="0"/>
            <wp:docPr id="1299972588" name="Picture 8" descr="Bar chart showing proportion of each group that loses out under a rising block tariff. Over one-third of low-income households and over one-third of disabled households face bill increases. Age groups also see significant impacts, with middle-aged households most affected. The figure shows that rising block tariffs disproportionately penalise vulnerable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2588" name="Picture 8" descr="Bar chart showing proportion of each group that loses out under a rising block tariff. Over one-third of low-income households and over one-third of disabled households face bill increases. Age groups also see significant impacts, with middle-aged households most affected. The figure shows that rising block tariffs disproportionately penalise vulnerable custom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p>
    <w:p w14:paraId="7819F3B1" w14:textId="3176BF19" w:rsidR="001A5E58" w:rsidRPr="00344BBB" w:rsidRDefault="1536D120" w:rsidP="7E2D8D79">
      <w:pPr>
        <w:spacing w:before="200" w:after="120" w:line="348" w:lineRule="auto"/>
        <w:rPr>
          <w:sz w:val="24"/>
          <w:szCs w:val="24"/>
        </w:rPr>
      </w:pPr>
      <w:r w:rsidRPr="00344BBB">
        <w:rPr>
          <w:sz w:val="24"/>
          <w:szCs w:val="24"/>
        </w:rPr>
        <w:t>Source: Public First analysis of Living Cost and Food Survey (2022/23) uprated for 2025</w:t>
      </w:r>
    </w:p>
    <w:p w14:paraId="16A6D406" w14:textId="77777777" w:rsidR="001A5E58" w:rsidRPr="00A4313C" w:rsidRDefault="3299063D" w:rsidP="1A6DFC8B">
      <w:pPr>
        <w:pStyle w:val="Heading3"/>
        <w:rPr>
          <w:color w:val="3275C8"/>
          <w:sz w:val="32"/>
          <w:szCs w:val="32"/>
        </w:rPr>
      </w:pPr>
      <w:bookmarkStart w:id="17" w:name="_5z0c9en2atac"/>
      <w:bookmarkEnd w:id="17"/>
      <w:r w:rsidRPr="00A4313C">
        <w:rPr>
          <w:color w:val="3275C8"/>
          <w:sz w:val="32"/>
          <w:szCs w:val="32"/>
        </w:rPr>
        <w:t>Payment-based vs. unit rate discounts</w:t>
      </w:r>
    </w:p>
    <w:p w14:paraId="1920B470" w14:textId="77777777" w:rsidR="001A5E58" w:rsidRDefault="00F84F72">
      <w:pPr>
        <w:rPr>
          <w:sz w:val="28"/>
          <w:szCs w:val="28"/>
        </w:rPr>
      </w:pPr>
      <w:r>
        <w:rPr>
          <w:sz w:val="28"/>
          <w:szCs w:val="28"/>
        </w:rPr>
        <w:t>Payment-based and unit-rate discounts share more similarities, in both cost and impact, than either does with a rising block tariff. When eligibility criteria and average support levels are aligned, the main differences between the two lie in the depth of support (and thus overall policy cost) and how well each approach aligns with broader market developments, such as dynamic pricing and smart technologies.</w:t>
      </w:r>
    </w:p>
    <w:p w14:paraId="0EB1B5BB" w14:textId="61F77DB7" w:rsidR="71E812B3" w:rsidRDefault="5B43EAB0" w:rsidP="1A6DFC8B">
      <w:pPr>
        <w:spacing w:line="259" w:lineRule="auto"/>
        <w:rPr>
          <w:sz w:val="28"/>
          <w:szCs w:val="28"/>
          <w:highlight w:val="yellow"/>
        </w:rPr>
      </w:pPr>
      <w:r w:rsidRPr="1A6DFC8B">
        <w:rPr>
          <w:sz w:val="28"/>
          <w:szCs w:val="28"/>
        </w:rPr>
        <w:t xml:space="preserve">Unit rate discounts provide deeper levels of support to households with higher energy needs, given that the discount is applied to every unit of energy used. By comparison, a payment-based discount is fixed, meaning it provides the same </w:t>
      </w:r>
      <w:r w:rsidR="171326FB" w:rsidRPr="1A6DFC8B">
        <w:rPr>
          <w:sz w:val="28"/>
          <w:szCs w:val="28"/>
        </w:rPr>
        <w:t>financial compensation</w:t>
      </w:r>
      <w:r w:rsidRPr="1A6DFC8B">
        <w:rPr>
          <w:sz w:val="28"/>
          <w:szCs w:val="28"/>
        </w:rPr>
        <w:t xml:space="preserve"> to households, irrespective of how much energy they use</w:t>
      </w:r>
      <w:r w:rsidR="66B09F0D" w:rsidRPr="1A6DFC8B">
        <w:rPr>
          <w:sz w:val="28"/>
          <w:szCs w:val="28"/>
        </w:rPr>
        <w:t xml:space="preserve"> (and their ability to change usage patterns)</w:t>
      </w:r>
      <w:r w:rsidR="4C364034" w:rsidRPr="1A6DFC8B">
        <w:rPr>
          <w:sz w:val="28"/>
          <w:szCs w:val="28"/>
        </w:rPr>
        <w:t xml:space="preserve"> or how much that energy costs</w:t>
      </w:r>
      <w:r w:rsidRPr="1A6DFC8B">
        <w:rPr>
          <w:sz w:val="28"/>
          <w:szCs w:val="28"/>
        </w:rPr>
        <w:t xml:space="preserve">. </w:t>
      </w:r>
      <w:r w:rsidR="3B3279A2" w:rsidRPr="1A6DFC8B">
        <w:rPr>
          <w:sz w:val="28"/>
          <w:szCs w:val="28"/>
        </w:rPr>
        <w:t xml:space="preserve">If the policy were to be </w:t>
      </w:r>
      <w:r w:rsidRPr="1A6DFC8B">
        <w:rPr>
          <w:sz w:val="28"/>
          <w:szCs w:val="28"/>
        </w:rPr>
        <w:t>bill-funded</w:t>
      </w:r>
      <w:r w:rsidR="2CC81331" w:rsidRPr="1A6DFC8B">
        <w:rPr>
          <w:sz w:val="28"/>
          <w:szCs w:val="28"/>
        </w:rPr>
        <w:t>, under a</w:t>
      </w:r>
      <w:r w:rsidRPr="1A6DFC8B">
        <w:rPr>
          <w:sz w:val="28"/>
          <w:szCs w:val="28"/>
        </w:rPr>
        <w:t xml:space="preserve"> unit rate model of 30%, some WHD-eligible households could benefit from discounts of as much as £</w:t>
      </w:r>
      <w:r w:rsidR="6E047782" w:rsidRPr="1A6DFC8B">
        <w:rPr>
          <w:sz w:val="28"/>
          <w:szCs w:val="28"/>
        </w:rPr>
        <w:t>1,0</w:t>
      </w:r>
      <w:r w:rsidRPr="1A6DFC8B">
        <w:rPr>
          <w:sz w:val="28"/>
          <w:szCs w:val="28"/>
        </w:rPr>
        <w:t>00, albeit households with higher disposable incomes. Poorer</w:t>
      </w:r>
      <w:r w:rsidR="29DC5A52" w:rsidRPr="1A6DFC8B">
        <w:rPr>
          <w:sz w:val="28"/>
          <w:szCs w:val="28"/>
        </w:rPr>
        <w:t xml:space="preserve"> and disabled</w:t>
      </w:r>
      <w:r w:rsidRPr="1A6DFC8B">
        <w:rPr>
          <w:sz w:val="28"/>
          <w:szCs w:val="28"/>
        </w:rPr>
        <w:t xml:space="preserve"> households would more </w:t>
      </w:r>
      <w:r w:rsidRPr="1A6DFC8B">
        <w:rPr>
          <w:sz w:val="28"/>
          <w:szCs w:val="28"/>
        </w:rPr>
        <w:lastRenderedPageBreak/>
        <w:t>likely benefit from discounts of between £350 and £4</w:t>
      </w:r>
      <w:r w:rsidR="69B546F9" w:rsidRPr="1A6DFC8B">
        <w:rPr>
          <w:sz w:val="28"/>
          <w:szCs w:val="28"/>
        </w:rPr>
        <w:t>5</w:t>
      </w:r>
      <w:r w:rsidRPr="1A6DFC8B">
        <w:rPr>
          <w:sz w:val="28"/>
          <w:szCs w:val="28"/>
        </w:rPr>
        <w:t>0, while older households (</w:t>
      </w:r>
      <w:r w:rsidR="17ED2D53" w:rsidRPr="1A6DFC8B">
        <w:rPr>
          <w:sz w:val="28"/>
          <w:szCs w:val="28"/>
        </w:rPr>
        <w:t>over 65</w:t>
      </w:r>
      <w:r w:rsidRPr="1A6DFC8B">
        <w:rPr>
          <w:sz w:val="28"/>
          <w:szCs w:val="28"/>
        </w:rPr>
        <w:t>) would see reductions of around £300</w:t>
      </w:r>
      <w:r w:rsidR="5FD56B61" w:rsidRPr="1A6DFC8B">
        <w:rPr>
          <w:sz w:val="28"/>
          <w:szCs w:val="28"/>
        </w:rPr>
        <w:t>-£350</w:t>
      </w:r>
      <w:r w:rsidRPr="1A6DFC8B">
        <w:rPr>
          <w:sz w:val="28"/>
          <w:szCs w:val="28"/>
        </w:rPr>
        <w:t>. These savings are broadly comparable to a fixed payment discount of £400, particularly if it were funded through energy bills, as the net gain for eligible households would be approximately £3</w:t>
      </w:r>
      <w:r w:rsidR="20BA4789" w:rsidRPr="1A6DFC8B">
        <w:rPr>
          <w:sz w:val="28"/>
          <w:szCs w:val="28"/>
        </w:rPr>
        <w:t>26</w:t>
      </w:r>
      <w:r w:rsidRPr="1A6DFC8B">
        <w:rPr>
          <w:sz w:val="28"/>
          <w:szCs w:val="28"/>
        </w:rPr>
        <w:t>, once the cost of funding the scheme is factored in.</w:t>
      </w:r>
    </w:p>
    <w:p w14:paraId="00CB1C8C" w14:textId="77777777" w:rsidR="001A5E58" w:rsidRDefault="001A5E58">
      <w:pPr>
        <w:rPr>
          <w:sz w:val="28"/>
          <w:szCs w:val="28"/>
        </w:rPr>
      </w:pPr>
    </w:p>
    <w:p w14:paraId="0B12CD87" w14:textId="6B16D33E" w:rsidR="001A5E58" w:rsidRDefault="3DE4D3F4">
      <w:pPr>
        <w:spacing w:before="200" w:after="120"/>
        <w:rPr>
          <w:sz w:val="28"/>
          <w:szCs w:val="28"/>
        </w:rPr>
      </w:pPr>
      <w:r w:rsidRPr="1A6DFC8B">
        <w:rPr>
          <w:b/>
          <w:bCs/>
          <w:sz w:val="28"/>
          <w:szCs w:val="28"/>
        </w:rPr>
        <w:t xml:space="preserve">Figure </w:t>
      </w:r>
      <w:r w:rsidR="2F4650BC" w:rsidRPr="1A6DFC8B">
        <w:rPr>
          <w:b/>
          <w:bCs/>
          <w:sz w:val="28"/>
          <w:szCs w:val="28"/>
        </w:rPr>
        <w:t>11</w:t>
      </w:r>
      <w:r w:rsidRPr="1A6DFC8B">
        <w:rPr>
          <w:b/>
          <w:bCs/>
          <w:sz w:val="28"/>
          <w:szCs w:val="28"/>
        </w:rPr>
        <w:t xml:space="preserve">: Unit rate discounts provide deeper levels of support. </w:t>
      </w:r>
      <w:r w:rsidRPr="00344BBB">
        <w:rPr>
          <w:sz w:val="28"/>
          <w:szCs w:val="28"/>
        </w:rPr>
        <w:t>Change in annual energy bill (£) for policy winners of payment-based or unit rate discounts, based on WHD eligibility</w:t>
      </w:r>
      <w:r w:rsidR="1A033A3E" w:rsidRPr="00344BBB">
        <w:rPr>
          <w:sz w:val="28"/>
          <w:szCs w:val="28"/>
        </w:rPr>
        <w:t xml:space="preserve">, by non-mutually exclusive variables of </w:t>
      </w:r>
      <w:r w:rsidRPr="00344BBB">
        <w:rPr>
          <w:sz w:val="28"/>
          <w:szCs w:val="28"/>
        </w:rPr>
        <w:t>disposable income decile, disability status, and age</w:t>
      </w:r>
      <w:r w:rsidR="2215D40F" w:rsidRPr="00344BBB">
        <w:rPr>
          <w:sz w:val="28"/>
          <w:szCs w:val="28"/>
        </w:rPr>
        <w:t>, GB</w:t>
      </w:r>
      <w:r w:rsidRPr="00344BBB">
        <w:rPr>
          <w:sz w:val="28"/>
          <w:szCs w:val="28"/>
        </w:rPr>
        <w:t>.</w:t>
      </w:r>
    </w:p>
    <w:p w14:paraId="6B635D07" w14:textId="7E0C29FB" w:rsidR="001A5E58" w:rsidRDefault="00B00001">
      <w:r>
        <w:rPr>
          <w:noProof/>
        </w:rPr>
        <w:drawing>
          <wp:inline distT="0" distB="0" distL="0" distR="0" wp14:anchorId="2B32EE34" wp14:editId="7C948907">
            <wp:extent cx="6479540" cy="4015105"/>
            <wp:effectExtent l="0" t="0" r="0" b="0"/>
            <wp:docPr id="1396568334" name="Picture 9" descr="Bar chart comparing annual bill reductions for policy winners under a £400 payment-based discount versus a 30% unit rate discount. Disabled and poorer households gain around £350–£450 under unit rate, while older households save £300–£350. Some higher-income households receive discounts as large as £1,000. The figure shows that unit rate discounts deliver deeper but uneven support, often benefiting higher-use and wealthier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68334" name="Picture 9" descr="Bar chart comparing annual bill reductions for policy winners under a £400 payment-based discount versus a 30% unit rate discount. Disabled and poorer households gain around £350–£450 under unit rate, while older households save £300–£350. Some higher-income households receive discounts as large as £1,000. The figure shows that unit rate discounts deliver deeper but uneven support, often benefiting higher-use and wealthier househol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p>
    <w:p w14:paraId="5DF4C898" w14:textId="77777777" w:rsidR="001A5E58" w:rsidRPr="00344BBB" w:rsidRDefault="00F84F72">
      <w:pPr>
        <w:spacing w:before="200" w:after="120" w:line="348" w:lineRule="auto"/>
        <w:rPr>
          <w:iCs/>
          <w:sz w:val="26"/>
          <w:szCs w:val="26"/>
        </w:rPr>
      </w:pPr>
      <w:r w:rsidRPr="00344BBB">
        <w:rPr>
          <w:iCs/>
          <w:sz w:val="26"/>
          <w:szCs w:val="26"/>
        </w:rPr>
        <w:t>Source: Public First analysis of Living Cost and Food Survey (2022/23) uprated for 2025</w:t>
      </w:r>
    </w:p>
    <w:p w14:paraId="12C058CC" w14:textId="77777777" w:rsidR="001A5E58" w:rsidRDefault="001A5E58">
      <w:pPr>
        <w:spacing w:before="200" w:after="120"/>
        <w:rPr>
          <w:i/>
          <w:sz w:val="24"/>
          <w:szCs w:val="24"/>
        </w:rPr>
      </w:pPr>
    </w:p>
    <w:p w14:paraId="47B1D9B1" w14:textId="5F56F2B2" w:rsidR="001A5E58" w:rsidRDefault="5B43EAB0" w:rsidP="3C85173F">
      <w:pPr>
        <w:rPr>
          <w:sz w:val="28"/>
          <w:szCs w:val="28"/>
        </w:rPr>
      </w:pPr>
      <w:r w:rsidRPr="1A6DFC8B">
        <w:rPr>
          <w:sz w:val="28"/>
          <w:szCs w:val="28"/>
        </w:rPr>
        <w:t>Financial constraints on both government and household spending create political challenges for funding targeted bill support. As a result, while the depth of support should be a key consideration for households with high energy needs, policymakers must also consider trade-offs in terms of value for money. Public First research indicates that a payment-based approach is more cost-effective at bringing households out of fuel poverty compared to a unit rate discount. As shown in Table 1, a payment-based discount of £400 could bring the same number of households out of fuel poverty for around £</w:t>
      </w:r>
      <w:r w:rsidR="63033066" w:rsidRPr="1A6DFC8B">
        <w:rPr>
          <w:sz w:val="28"/>
          <w:szCs w:val="28"/>
        </w:rPr>
        <w:t>5</w:t>
      </w:r>
      <w:r w:rsidRPr="1A6DFC8B">
        <w:rPr>
          <w:sz w:val="28"/>
          <w:szCs w:val="28"/>
        </w:rPr>
        <w:t xml:space="preserve">00m cheaper than a 30% </w:t>
      </w:r>
      <w:r w:rsidRPr="1A6DFC8B">
        <w:rPr>
          <w:sz w:val="28"/>
          <w:szCs w:val="28"/>
        </w:rPr>
        <w:lastRenderedPageBreak/>
        <w:t>unit rate discount inclusive of standing charges (£2.1bn vs £2.</w:t>
      </w:r>
      <w:r w:rsidR="4648DA9B" w:rsidRPr="1A6DFC8B">
        <w:rPr>
          <w:sz w:val="28"/>
          <w:szCs w:val="28"/>
        </w:rPr>
        <w:t>6</w:t>
      </w:r>
      <w:r w:rsidRPr="1A6DFC8B">
        <w:rPr>
          <w:sz w:val="28"/>
          <w:szCs w:val="28"/>
        </w:rPr>
        <w:t>bn respectively). This saving equates to an average of £1</w:t>
      </w:r>
      <w:r w:rsidR="55AEBDF0" w:rsidRPr="1A6DFC8B">
        <w:rPr>
          <w:sz w:val="28"/>
          <w:szCs w:val="28"/>
        </w:rPr>
        <w:t>5</w:t>
      </w:r>
      <w:r w:rsidRPr="1A6DFC8B">
        <w:rPr>
          <w:sz w:val="28"/>
          <w:szCs w:val="28"/>
        </w:rPr>
        <w:t xml:space="preserve"> a year per household </w:t>
      </w:r>
      <w:r w:rsidR="76D653B4" w:rsidRPr="1A6DFC8B">
        <w:rPr>
          <w:sz w:val="28"/>
          <w:szCs w:val="28"/>
        </w:rPr>
        <w:t xml:space="preserve">as modelled for bill-funded policy costs. </w:t>
      </w:r>
    </w:p>
    <w:p w14:paraId="5C2CB1D0" w14:textId="00AF29C3" w:rsidR="70A9D155" w:rsidRDefault="70A9D155" w:rsidP="3C85173F">
      <w:pPr>
        <w:rPr>
          <w:sz w:val="28"/>
          <w:szCs w:val="28"/>
        </w:rPr>
      </w:pPr>
      <w:r w:rsidRPr="3C85173F">
        <w:rPr>
          <w:sz w:val="28"/>
          <w:szCs w:val="28"/>
        </w:rPr>
        <w:t xml:space="preserve">Additionally, </w:t>
      </w:r>
      <w:r w:rsidR="345BBD6B" w:rsidRPr="3C85173F">
        <w:rPr>
          <w:sz w:val="28"/>
          <w:szCs w:val="28"/>
        </w:rPr>
        <w:t>any model that considers</w:t>
      </w:r>
      <w:r w:rsidR="5BB6A5A3" w:rsidRPr="3C85173F">
        <w:rPr>
          <w:sz w:val="28"/>
          <w:szCs w:val="28"/>
        </w:rPr>
        <w:t xml:space="preserve"> support as a proportion of, or in relation to energy prices, will be more reflective of changing costs. Fixed </w:t>
      </w:r>
      <w:r w:rsidR="4C46274A" w:rsidRPr="3C85173F">
        <w:rPr>
          <w:sz w:val="28"/>
          <w:szCs w:val="28"/>
        </w:rPr>
        <w:t xml:space="preserve">discounts (either as a pence per-kilowatt-hour or as a set payment) risk </w:t>
      </w:r>
      <w:r w:rsidR="415139F9" w:rsidRPr="3C85173F">
        <w:rPr>
          <w:sz w:val="28"/>
          <w:szCs w:val="28"/>
        </w:rPr>
        <w:t xml:space="preserve">having perverse outcomes through either providing inadequate support as energy prices increase or less cost-effective support as prices fall. </w:t>
      </w:r>
      <w:r w:rsidR="7C385240" w:rsidRPr="3C85173F">
        <w:rPr>
          <w:sz w:val="28"/>
          <w:szCs w:val="28"/>
        </w:rPr>
        <w:t>Options for mitigating this are explored in Chapter Three.</w:t>
      </w:r>
    </w:p>
    <w:p w14:paraId="0CF92B8D" w14:textId="77777777" w:rsidR="001A5E58" w:rsidRDefault="00F84F72">
      <w:pPr>
        <w:rPr>
          <w:color w:val="FF9900"/>
          <w:sz w:val="32"/>
          <w:szCs w:val="32"/>
        </w:rPr>
      </w:pPr>
      <w:r>
        <w:rPr>
          <w:sz w:val="28"/>
          <w:szCs w:val="28"/>
        </w:rPr>
        <w:t>As the energy market shifts towards more dynamic time-based pricing and smart, green technologies, policymakers should also ensure that the chosen model of targeted bill support is compatible with these developments. The case studies below examine how different models of support interact with this market evolution.</w:t>
      </w:r>
    </w:p>
    <w:p w14:paraId="4E08884E" w14:textId="3112D648" w:rsidR="001A5E58" w:rsidRPr="00FA72C7" w:rsidRDefault="1536D120">
      <w:pPr>
        <w:pStyle w:val="Heading3"/>
        <w:spacing w:before="400" w:after="120"/>
        <w:rPr>
          <w:color w:val="3275C8"/>
          <w:sz w:val="32"/>
          <w:szCs w:val="32"/>
        </w:rPr>
      </w:pPr>
      <w:bookmarkStart w:id="18" w:name="_uzk6hc7o4lpg"/>
      <w:bookmarkEnd w:id="18"/>
      <w:r w:rsidRPr="00FA72C7">
        <w:rPr>
          <w:color w:val="3275C8"/>
          <w:sz w:val="32"/>
          <w:szCs w:val="32"/>
        </w:rPr>
        <w:t xml:space="preserve">Case study 1: Ensuring </w:t>
      </w:r>
      <w:r w:rsidR="00A57857" w:rsidRPr="00FA72C7">
        <w:rPr>
          <w:color w:val="3275C8"/>
          <w:sz w:val="32"/>
          <w:szCs w:val="32"/>
        </w:rPr>
        <w:t>targeted bill support</w:t>
      </w:r>
      <w:r w:rsidRPr="00FA72C7">
        <w:rPr>
          <w:color w:val="3275C8"/>
          <w:sz w:val="32"/>
          <w:szCs w:val="32"/>
        </w:rPr>
        <w:t xml:space="preserve"> design supports fair outcomes in a time-of-use future</w:t>
      </w:r>
    </w:p>
    <w:p w14:paraId="3861E823" w14:textId="77777777" w:rsidR="001A5E58" w:rsidRDefault="00F84F72">
      <w:pPr>
        <w:spacing w:before="240" w:after="240"/>
        <w:rPr>
          <w:sz w:val="28"/>
          <w:szCs w:val="28"/>
        </w:rPr>
      </w:pPr>
      <w:r>
        <w:rPr>
          <w:sz w:val="28"/>
          <w:szCs w:val="28"/>
        </w:rPr>
        <w:t>Most electricity customers are currently billed based on estimated usage patterns. The upcoming Market-Wide Half-Hourly Settlement reform will allow suppliers to charge based on actual half-hourly consumption, aligning prices more closely with real-time energy costs. This will make it easier to roll out time-of-use (</w:t>
      </w:r>
      <w:proofErr w:type="spellStart"/>
      <w:r>
        <w:rPr>
          <w:sz w:val="28"/>
          <w:szCs w:val="28"/>
        </w:rPr>
        <w:t>ToU</w:t>
      </w:r>
      <w:proofErr w:type="spellEnd"/>
      <w:r>
        <w:rPr>
          <w:sz w:val="28"/>
          <w:szCs w:val="28"/>
        </w:rPr>
        <w:t>) tariffs, which vary in price by time of day, encouraging people to shift use to off-peak periods. This can reduce system strain and help households cut bills by using cheaper, often cleaner, electricity.</w:t>
      </w:r>
    </w:p>
    <w:p w14:paraId="1F134B5A" w14:textId="77777777" w:rsidR="001A5E58" w:rsidRDefault="71E812B3">
      <w:pPr>
        <w:spacing w:before="240" w:after="240"/>
        <w:rPr>
          <w:sz w:val="28"/>
          <w:szCs w:val="28"/>
        </w:rPr>
      </w:pPr>
      <w:r>
        <w:rPr>
          <w:sz w:val="28"/>
          <w:szCs w:val="28"/>
        </w:rPr>
        <w:t>But as the market moves towards these more dynamic pricing models, it is important to recognise the opportunities and risks this creates for consumers. Ofgem’s research</w:t>
      </w:r>
      <w:r w:rsidR="00F84F72">
        <w:rPr>
          <w:sz w:val="28"/>
          <w:szCs w:val="28"/>
          <w:vertAlign w:val="superscript"/>
        </w:rPr>
        <w:footnoteReference w:id="24"/>
      </w:r>
      <w:r>
        <w:rPr>
          <w:sz w:val="28"/>
          <w:szCs w:val="28"/>
        </w:rPr>
        <w:t xml:space="preserve"> suggests that vulnerable consumers could, on average, see a small reduction in bills, but the impact varies significantly across this group, with some experiencing bill increases. For instance, households whose energy use already falls in off-peak periods may benefit without needing to change their behaviour. Others, such as those with fixed routines (e.g. due to caring responsibilities) or without access to smart appliances, may find it harder to shift demand and could see their energy costs increase.</w:t>
      </w:r>
    </w:p>
    <w:p w14:paraId="423E7DDB" w14:textId="4A3F7A4F" w:rsidR="001A5E58" w:rsidRDefault="71E812B3">
      <w:pPr>
        <w:spacing w:before="240" w:after="240"/>
        <w:rPr>
          <w:sz w:val="28"/>
          <w:szCs w:val="28"/>
        </w:rPr>
      </w:pPr>
      <w:r w:rsidRPr="3C85173F">
        <w:rPr>
          <w:sz w:val="28"/>
          <w:szCs w:val="28"/>
        </w:rPr>
        <w:t xml:space="preserve">Designing </w:t>
      </w:r>
      <w:r w:rsidR="4EE6ECDF" w:rsidRPr="3C85173F">
        <w:rPr>
          <w:sz w:val="28"/>
          <w:szCs w:val="28"/>
        </w:rPr>
        <w:t>targeted bill support</w:t>
      </w:r>
      <w:r w:rsidRPr="3C85173F">
        <w:rPr>
          <w:sz w:val="28"/>
          <w:szCs w:val="28"/>
        </w:rPr>
        <w:t xml:space="preserve"> must take account of this changing landscape so that vulnerable </w:t>
      </w:r>
      <w:r w:rsidR="2ECE7FC7" w:rsidRPr="3C85173F">
        <w:rPr>
          <w:sz w:val="28"/>
          <w:szCs w:val="28"/>
        </w:rPr>
        <w:t>customers</w:t>
      </w:r>
      <w:r w:rsidRPr="3C85173F">
        <w:rPr>
          <w:sz w:val="28"/>
          <w:szCs w:val="28"/>
        </w:rPr>
        <w:t xml:space="preserve"> are not inadvertently left worse off. While the overall shift to </w:t>
      </w:r>
      <w:proofErr w:type="spellStart"/>
      <w:r w:rsidRPr="3C85173F">
        <w:rPr>
          <w:sz w:val="28"/>
          <w:szCs w:val="28"/>
        </w:rPr>
        <w:t>ToU</w:t>
      </w:r>
      <w:proofErr w:type="spellEnd"/>
      <w:r w:rsidRPr="3C85173F">
        <w:rPr>
          <w:sz w:val="28"/>
          <w:szCs w:val="28"/>
        </w:rPr>
        <w:t xml:space="preserve"> pricing should help make the energy system cleaner and more flexible, it is equally important to protect those who are unable to benefit from shifting their consumption. How </w:t>
      </w:r>
      <w:r w:rsidR="10B26033" w:rsidRPr="3C85173F">
        <w:rPr>
          <w:sz w:val="28"/>
          <w:szCs w:val="28"/>
        </w:rPr>
        <w:t>targeted bill support</w:t>
      </w:r>
      <w:r w:rsidRPr="3C85173F">
        <w:rPr>
          <w:sz w:val="28"/>
          <w:szCs w:val="28"/>
        </w:rPr>
        <w:t xml:space="preserve"> is structured will shape </w:t>
      </w:r>
      <w:r w:rsidRPr="3C85173F">
        <w:rPr>
          <w:sz w:val="28"/>
          <w:szCs w:val="28"/>
        </w:rPr>
        <w:lastRenderedPageBreak/>
        <w:t xml:space="preserve">whether it supports incentives for flexible energy use while still safeguarding vulnerable </w:t>
      </w:r>
      <w:r w:rsidR="4B640602" w:rsidRPr="3C85173F">
        <w:rPr>
          <w:sz w:val="28"/>
          <w:szCs w:val="28"/>
        </w:rPr>
        <w:t>customers</w:t>
      </w:r>
      <w:r w:rsidRPr="3C85173F">
        <w:rPr>
          <w:sz w:val="28"/>
          <w:szCs w:val="28"/>
        </w:rPr>
        <w:t xml:space="preserve"> from high bills, and will generate differing trade-offs, including simplicity, protection, and maintenance of price signals in a competitive market.</w:t>
      </w:r>
    </w:p>
    <w:p w14:paraId="6D0F92CE" w14:textId="081A7049" w:rsidR="71E812B3" w:rsidRDefault="71E812B3" w:rsidP="3C85173F">
      <w:pPr>
        <w:spacing w:before="240" w:after="240" w:line="259" w:lineRule="auto"/>
        <w:rPr>
          <w:sz w:val="28"/>
          <w:szCs w:val="28"/>
        </w:rPr>
      </w:pPr>
      <w:r w:rsidRPr="3C85173F">
        <w:rPr>
          <w:sz w:val="28"/>
          <w:szCs w:val="28"/>
        </w:rPr>
        <w:t>A f</w:t>
      </w:r>
      <w:r w:rsidR="4ADBA857" w:rsidRPr="3C85173F">
        <w:rPr>
          <w:sz w:val="28"/>
          <w:szCs w:val="28"/>
        </w:rPr>
        <w:t>ixed payment</w:t>
      </w:r>
      <w:r w:rsidRPr="3C85173F">
        <w:rPr>
          <w:sz w:val="28"/>
          <w:szCs w:val="28"/>
        </w:rPr>
        <w:t xml:space="preserve"> discount would offer the same amount of support regardless of when electricity is used</w:t>
      </w:r>
      <w:r w:rsidR="712B69F7" w:rsidRPr="3C85173F">
        <w:rPr>
          <w:sz w:val="28"/>
          <w:szCs w:val="28"/>
        </w:rPr>
        <w:t xml:space="preserve"> or its price</w:t>
      </w:r>
      <w:r w:rsidRPr="3C85173F">
        <w:rPr>
          <w:sz w:val="28"/>
          <w:szCs w:val="28"/>
        </w:rPr>
        <w:t>.</w:t>
      </w:r>
      <w:r w:rsidR="694ECD6D" w:rsidRPr="3C85173F">
        <w:rPr>
          <w:sz w:val="28"/>
          <w:szCs w:val="28"/>
        </w:rPr>
        <w:t xml:space="preserve"> </w:t>
      </w:r>
      <w:r w:rsidRPr="3C85173F">
        <w:rPr>
          <w:sz w:val="28"/>
          <w:szCs w:val="28"/>
        </w:rPr>
        <w:t xml:space="preserve">This predictability could be especially valuable for households less able to respond to </w:t>
      </w:r>
      <w:proofErr w:type="spellStart"/>
      <w:r w:rsidRPr="3C85173F">
        <w:rPr>
          <w:sz w:val="28"/>
          <w:szCs w:val="28"/>
        </w:rPr>
        <w:t>ToU</w:t>
      </w:r>
      <w:proofErr w:type="spellEnd"/>
      <w:r w:rsidRPr="3C85173F">
        <w:rPr>
          <w:sz w:val="28"/>
          <w:szCs w:val="28"/>
        </w:rPr>
        <w:t xml:space="preserve"> signals, such as disabled </w:t>
      </w:r>
      <w:r w:rsidR="65AC8D3F" w:rsidRPr="3C85173F">
        <w:rPr>
          <w:sz w:val="28"/>
          <w:szCs w:val="28"/>
        </w:rPr>
        <w:t xml:space="preserve">households </w:t>
      </w:r>
      <w:r w:rsidRPr="3C85173F">
        <w:rPr>
          <w:sz w:val="28"/>
          <w:szCs w:val="28"/>
        </w:rPr>
        <w:t xml:space="preserve">who rely on energy-intensive medical equipment or heating at specific times. Because the discount applies equally across both </w:t>
      </w:r>
      <w:r w:rsidR="5BDC316A" w:rsidRPr="3C85173F">
        <w:rPr>
          <w:sz w:val="28"/>
          <w:szCs w:val="28"/>
        </w:rPr>
        <w:t>standard</w:t>
      </w:r>
      <w:r w:rsidRPr="3C85173F">
        <w:rPr>
          <w:sz w:val="28"/>
          <w:szCs w:val="28"/>
        </w:rPr>
        <w:t xml:space="preserve"> and </w:t>
      </w:r>
      <w:proofErr w:type="spellStart"/>
      <w:r w:rsidRPr="3C85173F">
        <w:rPr>
          <w:sz w:val="28"/>
          <w:szCs w:val="28"/>
        </w:rPr>
        <w:t>ToU</w:t>
      </w:r>
      <w:proofErr w:type="spellEnd"/>
      <w:r w:rsidRPr="3C85173F">
        <w:rPr>
          <w:sz w:val="28"/>
          <w:szCs w:val="28"/>
        </w:rPr>
        <w:t xml:space="preserve"> tariffs, it protects those who choose to stay on a </w:t>
      </w:r>
      <w:r w:rsidR="4DF8E1CA" w:rsidRPr="3C85173F">
        <w:rPr>
          <w:sz w:val="28"/>
          <w:szCs w:val="28"/>
        </w:rPr>
        <w:t xml:space="preserve">standard </w:t>
      </w:r>
      <w:r w:rsidRPr="3C85173F">
        <w:rPr>
          <w:sz w:val="28"/>
          <w:szCs w:val="28"/>
        </w:rPr>
        <w:t xml:space="preserve">tariff while still allowing those on </w:t>
      </w:r>
      <w:proofErr w:type="spellStart"/>
      <w:r w:rsidRPr="3C85173F">
        <w:rPr>
          <w:sz w:val="28"/>
          <w:szCs w:val="28"/>
        </w:rPr>
        <w:t>ToU</w:t>
      </w:r>
      <w:proofErr w:type="spellEnd"/>
      <w:r w:rsidRPr="3C85173F">
        <w:rPr>
          <w:sz w:val="28"/>
          <w:szCs w:val="28"/>
        </w:rPr>
        <w:t xml:space="preserve"> tariffs to benefit from shifting their usage.</w:t>
      </w:r>
      <w:r w:rsidR="54755C53" w:rsidRPr="3C85173F">
        <w:rPr>
          <w:sz w:val="28"/>
          <w:szCs w:val="28"/>
        </w:rPr>
        <w:t xml:space="preserve"> It is worth noting that </w:t>
      </w:r>
      <w:r w:rsidR="65526887" w:rsidRPr="3C85173F">
        <w:rPr>
          <w:sz w:val="28"/>
          <w:szCs w:val="28"/>
        </w:rPr>
        <w:t xml:space="preserve">a fixed payment discount that did not account for the price of energy would be limited in providing </w:t>
      </w:r>
      <w:r w:rsidR="178A0D13" w:rsidRPr="3C85173F">
        <w:rPr>
          <w:sz w:val="28"/>
          <w:szCs w:val="28"/>
        </w:rPr>
        <w:t xml:space="preserve">meaningful and cost-effective </w:t>
      </w:r>
      <w:r w:rsidR="65526887" w:rsidRPr="3C85173F">
        <w:rPr>
          <w:sz w:val="28"/>
          <w:szCs w:val="28"/>
        </w:rPr>
        <w:t>support</w:t>
      </w:r>
      <w:r w:rsidR="1F6E3E7A" w:rsidRPr="3C85173F">
        <w:rPr>
          <w:sz w:val="28"/>
          <w:szCs w:val="28"/>
        </w:rPr>
        <w:t>, as the discount could become too generous or inadequate depending on</w:t>
      </w:r>
      <w:r w:rsidR="07785489" w:rsidRPr="3C85173F">
        <w:rPr>
          <w:sz w:val="28"/>
          <w:szCs w:val="28"/>
        </w:rPr>
        <w:t xml:space="preserve"> volatile energy prices.</w:t>
      </w:r>
      <w:r w:rsidR="1F6E3E7A" w:rsidRPr="3C85173F">
        <w:rPr>
          <w:sz w:val="28"/>
          <w:szCs w:val="28"/>
        </w:rPr>
        <w:t xml:space="preserve"> </w:t>
      </w:r>
      <w:r w:rsidR="7FF0AD76" w:rsidRPr="3C85173F">
        <w:rPr>
          <w:sz w:val="28"/>
          <w:szCs w:val="28"/>
        </w:rPr>
        <w:t>This is explored in more detail in Chapter 3.</w:t>
      </w:r>
    </w:p>
    <w:p w14:paraId="2CAA64FE" w14:textId="1CF4E79F" w:rsidR="001A5E58" w:rsidRDefault="71E812B3">
      <w:pPr>
        <w:spacing w:before="240" w:after="240"/>
        <w:rPr>
          <w:sz w:val="28"/>
          <w:szCs w:val="28"/>
        </w:rPr>
      </w:pPr>
      <w:r w:rsidRPr="3C85173F">
        <w:rPr>
          <w:sz w:val="28"/>
          <w:szCs w:val="28"/>
        </w:rPr>
        <w:t xml:space="preserve">In contrast, a unit rate discount scales with consumption, which can benefit high-use households who have greater energy needs. It also strengthens incentives to shift demand under </w:t>
      </w:r>
      <w:proofErr w:type="spellStart"/>
      <w:r w:rsidRPr="3C85173F">
        <w:rPr>
          <w:sz w:val="28"/>
          <w:szCs w:val="28"/>
        </w:rPr>
        <w:t>ToU</w:t>
      </w:r>
      <w:proofErr w:type="spellEnd"/>
      <w:r w:rsidRPr="3C85173F">
        <w:rPr>
          <w:sz w:val="28"/>
          <w:szCs w:val="28"/>
        </w:rPr>
        <w:t xml:space="preserve"> tariffs, as savings come both from cheaper off-peak prices and the discount per unit consumed. However, this approach is less predictable and risks providing lower overall support for low-use households. </w:t>
      </w:r>
      <w:r w:rsidR="25E27715" w:rsidRPr="3C85173F">
        <w:rPr>
          <w:sz w:val="28"/>
          <w:szCs w:val="28"/>
        </w:rPr>
        <w:t>In effect, it delivers proportionally greater savings to households with more flexible or higher energy use, rather than guaranteeing a consistent level of support</w:t>
      </w:r>
      <w:r w:rsidRPr="3C85173F">
        <w:rPr>
          <w:sz w:val="28"/>
          <w:szCs w:val="28"/>
        </w:rPr>
        <w:t xml:space="preserve">, potentially disadvantaging those who cannot easily change when or how they use energy, such as households relying on medical equipment that must run at fixed times. From an implementation perspective, unit rate discounts are also more complex for suppliers. They require adapting billing systems to apply discounts across different time bands and consumption profiles, which </w:t>
      </w:r>
      <w:r w:rsidR="10B26033" w:rsidRPr="3C85173F">
        <w:rPr>
          <w:sz w:val="28"/>
          <w:szCs w:val="28"/>
        </w:rPr>
        <w:t>could</w:t>
      </w:r>
      <w:r w:rsidRPr="3C85173F">
        <w:rPr>
          <w:sz w:val="28"/>
          <w:szCs w:val="28"/>
        </w:rPr>
        <w:t xml:space="preserve"> increase the administrative burden and make the tariff harder to explain to consumers.</w:t>
      </w:r>
    </w:p>
    <w:p w14:paraId="1FF12F47" w14:textId="7542C0E3" w:rsidR="001A5E58" w:rsidRDefault="367B7873">
      <w:r w:rsidRPr="3C85173F">
        <w:rPr>
          <w:sz w:val="28"/>
          <w:szCs w:val="28"/>
        </w:rPr>
        <w:t>A f</w:t>
      </w:r>
      <w:r w:rsidR="07C1AB72" w:rsidRPr="3C85173F">
        <w:rPr>
          <w:sz w:val="28"/>
          <w:szCs w:val="28"/>
        </w:rPr>
        <w:t xml:space="preserve">ixed payment </w:t>
      </w:r>
      <w:r w:rsidRPr="3C85173F">
        <w:rPr>
          <w:sz w:val="28"/>
          <w:szCs w:val="28"/>
        </w:rPr>
        <w:t xml:space="preserve">may therefore offer a more reliable baseline of support for vulnerable consumers. It does not penalise those who prefer the stability of a flat tariff but still allows people on </w:t>
      </w:r>
      <w:proofErr w:type="spellStart"/>
      <w:r w:rsidRPr="3C85173F">
        <w:rPr>
          <w:sz w:val="28"/>
          <w:szCs w:val="28"/>
        </w:rPr>
        <w:t>ToU</w:t>
      </w:r>
      <w:proofErr w:type="spellEnd"/>
      <w:r w:rsidRPr="3C85173F">
        <w:rPr>
          <w:sz w:val="28"/>
          <w:szCs w:val="28"/>
        </w:rPr>
        <w:t xml:space="preserve"> tariffs to stack savings where they can. </w:t>
      </w:r>
    </w:p>
    <w:p w14:paraId="02AF89D1" w14:textId="77777777" w:rsidR="001A5E58" w:rsidRDefault="001A5E58"/>
    <w:p w14:paraId="2346D44B" w14:textId="1A6B8630" w:rsidR="001A5E58" w:rsidRPr="00FA72C7" w:rsidRDefault="00F84F72">
      <w:pPr>
        <w:pStyle w:val="Heading3"/>
        <w:spacing w:before="0" w:after="0" w:line="240" w:lineRule="auto"/>
        <w:rPr>
          <w:color w:val="3275C8"/>
          <w:sz w:val="32"/>
          <w:szCs w:val="32"/>
        </w:rPr>
      </w:pPr>
      <w:bookmarkStart w:id="19" w:name="_5wseof9cvafq" w:colFirst="0" w:colLast="0"/>
      <w:bookmarkEnd w:id="19"/>
      <w:r w:rsidRPr="00FA72C7">
        <w:rPr>
          <w:color w:val="3275C8"/>
          <w:sz w:val="32"/>
          <w:szCs w:val="32"/>
        </w:rPr>
        <w:t xml:space="preserve">Case study 2: How would </w:t>
      </w:r>
      <w:r w:rsidR="00AC6A4E" w:rsidRPr="00FA72C7">
        <w:rPr>
          <w:color w:val="3275C8"/>
          <w:sz w:val="32"/>
          <w:szCs w:val="32"/>
        </w:rPr>
        <w:t xml:space="preserve">targeted bill support </w:t>
      </w:r>
      <w:r w:rsidRPr="00FA72C7">
        <w:rPr>
          <w:color w:val="3275C8"/>
          <w:sz w:val="32"/>
          <w:szCs w:val="32"/>
        </w:rPr>
        <w:t>impact consumer engagement with home smart, green technologies?</w:t>
      </w:r>
    </w:p>
    <w:p w14:paraId="6F4B1205" w14:textId="77777777" w:rsidR="001A5E58" w:rsidRDefault="001A5E58"/>
    <w:p w14:paraId="2DFF3351" w14:textId="42C8368A" w:rsidR="001A5E58" w:rsidRDefault="1536D120">
      <w:pPr>
        <w:spacing w:after="0"/>
        <w:rPr>
          <w:sz w:val="28"/>
          <w:szCs w:val="28"/>
        </w:rPr>
      </w:pPr>
      <w:r w:rsidRPr="7E2D8D79">
        <w:rPr>
          <w:sz w:val="28"/>
          <w:szCs w:val="28"/>
        </w:rPr>
        <w:t xml:space="preserve">As </w:t>
      </w:r>
      <w:r w:rsidR="3136469A" w:rsidRPr="7E2D8D79">
        <w:rPr>
          <w:sz w:val="28"/>
          <w:szCs w:val="28"/>
        </w:rPr>
        <w:t>the</w:t>
      </w:r>
      <w:r w:rsidR="0033C3D6" w:rsidRPr="7E2D8D79">
        <w:rPr>
          <w:sz w:val="28"/>
          <w:szCs w:val="28"/>
        </w:rPr>
        <w:t xml:space="preserve"> </w:t>
      </w:r>
      <w:r w:rsidRPr="7E2D8D79">
        <w:rPr>
          <w:sz w:val="28"/>
          <w:szCs w:val="28"/>
        </w:rPr>
        <w:t xml:space="preserve">energy system becomes smarter, with more households installing technologies like solar panels, smart heating, or home batteries, the way we support vulnerable consumers must keep pace. A key question is how </w:t>
      </w:r>
      <w:r w:rsidR="00AC6A4E">
        <w:rPr>
          <w:sz w:val="28"/>
          <w:szCs w:val="28"/>
        </w:rPr>
        <w:t xml:space="preserve">targeted bill </w:t>
      </w:r>
      <w:r w:rsidR="00AC6A4E">
        <w:rPr>
          <w:sz w:val="28"/>
          <w:szCs w:val="28"/>
        </w:rPr>
        <w:lastRenderedPageBreak/>
        <w:t>support</w:t>
      </w:r>
      <w:r w:rsidRPr="7E2D8D79">
        <w:rPr>
          <w:sz w:val="28"/>
          <w:szCs w:val="28"/>
        </w:rPr>
        <w:t>, designed to protect those struggling with energy costs, interacts with the growing use of green and smart technologies that can also lower bills.</w:t>
      </w:r>
    </w:p>
    <w:p w14:paraId="07A1C359" w14:textId="1959D14A" w:rsidR="001A5E58" w:rsidRDefault="00F84F72">
      <w:pPr>
        <w:spacing w:after="0"/>
        <w:rPr>
          <w:sz w:val="28"/>
          <w:szCs w:val="28"/>
        </w:rPr>
      </w:pPr>
      <w:r>
        <w:rPr>
          <w:sz w:val="28"/>
          <w:szCs w:val="28"/>
        </w:rPr>
        <w:br/>
      </w:r>
      <w:r w:rsidR="367B7873">
        <w:rPr>
          <w:sz w:val="28"/>
          <w:szCs w:val="28"/>
        </w:rPr>
        <w:t>Green and smart technologies help households cut costs by generating their own electricity or shifting usage to cheaper times. According to research by the Resolution Foundation, without additional discounts, rooftop solar could cut household bills by an estimated £440 a year, equivalent to almost a quarter of energy spending for the poorest fifth of households</w:t>
      </w:r>
      <w:r w:rsidR="53B55F5A">
        <w:rPr>
          <w:sz w:val="28"/>
          <w:szCs w:val="28"/>
        </w:rPr>
        <w:t>.</w:t>
      </w:r>
      <w:r>
        <w:rPr>
          <w:sz w:val="28"/>
          <w:szCs w:val="28"/>
          <w:vertAlign w:val="superscript"/>
        </w:rPr>
        <w:footnoteReference w:id="25"/>
      </w:r>
      <w:r w:rsidR="367B7873">
        <w:rPr>
          <w:rFonts w:ascii="Times New Roman" w:eastAsia="Times New Roman" w:hAnsi="Times New Roman" w:cs="Times New Roman"/>
          <w:color w:val="666666"/>
          <w:sz w:val="28"/>
          <w:szCs w:val="28"/>
          <w:highlight w:val="white"/>
        </w:rPr>
        <w:t xml:space="preserve"> </w:t>
      </w:r>
      <w:r w:rsidR="367B7873">
        <w:rPr>
          <w:sz w:val="28"/>
          <w:szCs w:val="28"/>
        </w:rPr>
        <w:t xml:space="preserve">Where </w:t>
      </w:r>
      <w:r w:rsidR="10B26033">
        <w:rPr>
          <w:sz w:val="28"/>
          <w:szCs w:val="28"/>
        </w:rPr>
        <w:t xml:space="preserve">targeted bill support </w:t>
      </w:r>
      <w:r w:rsidR="367B7873">
        <w:rPr>
          <w:sz w:val="28"/>
          <w:szCs w:val="28"/>
        </w:rPr>
        <w:t xml:space="preserve">reduces households’ electricity costs, the investment case for energy efficiency measures may weaken, as the value of savings falls. That said, many households eligible for </w:t>
      </w:r>
      <w:r w:rsidR="10B26033">
        <w:rPr>
          <w:sz w:val="28"/>
          <w:szCs w:val="28"/>
        </w:rPr>
        <w:t xml:space="preserve">targeted bill support </w:t>
      </w:r>
      <w:r w:rsidR="367B7873">
        <w:rPr>
          <w:sz w:val="28"/>
          <w:szCs w:val="28"/>
        </w:rPr>
        <w:t xml:space="preserve">would be on lower incomes and would therefore be unlikely to purchase solar panels or heat pumps outright. </w:t>
      </w:r>
      <w:r w:rsidR="696DA760">
        <w:rPr>
          <w:sz w:val="28"/>
          <w:szCs w:val="28"/>
        </w:rPr>
        <w:t>They would be more likely to access these technologies through grants or free upgrades.</w:t>
      </w:r>
    </w:p>
    <w:p w14:paraId="2C3BD0FC" w14:textId="479EB9B0" w:rsidR="00AC6A4E" w:rsidRDefault="00F84F72">
      <w:pPr>
        <w:spacing w:after="0"/>
        <w:rPr>
          <w:sz w:val="28"/>
          <w:szCs w:val="28"/>
        </w:rPr>
      </w:pPr>
      <w:r>
        <w:br/>
      </w:r>
      <w:r w:rsidR="131A9D84" w:rsidRPr="3C85173F">
        <w:rPr>
          <w:sz w:val="28"/>
          <w:szCs w:val="28"/>
        </w:rPr>
        <w:t>For households with green technologies already installed, how targeted support is delivered will impact their experiences and benefits.</w:t>
      </w:r>
      <w:r w:rsidR="71E812B3" w:rsidRPr="3C85173F">
        <w:rPr>
          <w:sz w:val="28"/>
          <w:szCs w:val="28"/>
        </w:rPr>
        <w:t xml:space="preserve"> A </w:t>
      </w:r>
      <w:r w:rsidR="63B26521" w:rsidRPr="3C85173F">
        <w:rPr>
          <w:sz w:val="28"/>
          <w:szCs w:val="28"/>
        </w:rPr>
        <w:t>fixed payment</w:t>
      </w:r>
      <w:r w:rsidR="71E812B3" w:rsidRPr="3C85173F">
        <w:rPr>
          <w:sz w:val="28"/>
          <w:szCs w:val="28"/>
        </w:rPr>
        <w:t xml:space="preserve"> discount offers predictable support regardless of how much energy is used or when. This makes it particularly suitable for households with low or inflexible usage while preserving the full strength of price signals under time-of-use tariffs. Because the discount is not tied to consumption, there is no additional incentive to invest in or make full use of technologies that shift demand, nor does it weaken the case for doing so. A unit rate discount, in contrast, scales with electricity use. This can offer more generous support to households with higher consumption. It also reinforces the incentive to use energy at cheaper times under time-of-use tariffs, by offering an additional per-unit saving. However</w:t>
      </w:r>
      <w:r w:rsidR="10B26033" w:rsidRPr="3C85173F">
        <w:rPr>
          <w:sz w:val="28"/>
          <w:szCs w:val="28"/>
        </w:rPr>
        <w:t xml:space="preserve">, this </w:t>
      </w:r>
      <w:r w:rsidR="71E812B3" w:rsidRPr="3C85173F">
        <w:rPr>
          <w:sz w:val="28"/>
          <w:szCs w:val="28"/>
        </w:rPr>
        <w:t>can disproportionately benefit those who can shift deman</w:t>
      </w:r>
      <w:r w:rsidR="10B26033" w:rsidRPr="3C85173F">
        <w:rPr>
          <w:sz w:val="28"/>
          <w:szCs w:val="28"/>
        </w:rPr>
        <w:t>d</w:t>
      </w:r>
      <w:r w:rsidR="398A1797" w:rsidRPr="3C85173F">
        <w:rPr>
          <w:sz w:val="28"/>
          <w:szCs w:val="28"/>
        </w:rPr>
        <w:t>, rewarding their flexibility,</w:t>
      </w:r>
      <w:r w:rsidR="10B26033" w:rsidRPr="3C85173F">
        <w:rPr>
          <w:sz w:val="28"/>
          <w:szCs w:val="28"/>
        </w:rPr>
        <w:t xml:space="preserve"> </w:t>
      </w:r>
      <w:r w:rsidR="398A1797" w:rsidRPr="3C85173F">
        <w:rPr>
          <w:sz w:val="28"/>
          <w:szCs w:val="28"/>
        </w:rPr>
        <w:t xml:space="preserve">while providing less support to </w:t>
      </w:r>
      <w:r w:rsidR="7B9C64ED" w:rsidRPr="3C85173F">
        <w:rPr>
          <w:sz w:val="28"/>
          <w:szCs w:val="28"/>
        </w:rPr>
        <w:t>customers</w:t>
      </w:r>
      <w:r w:rsidR="10B26033" w:rsidRPr="3C85173F">
        <w:rPr>
          <w:sz w:val="28"/>
          <w:szCs w:val="28"/>
        </w:rPr>
        <w:t xml:space="preserve"> who cannot</w:t>
      </w:r>
      <w:r w:rsidR="398A1797" w:rsidRPr="3C85173F">
        <w:rPr>
          <w:sz w:val="28"/>
          <w:szCs w:val="28"/>
        </w:rPr>
        <w:t>, such as those reliant on medical equipment.</w:t>
      </w:r>
    </w:p>
    <w:p w14:paraId="04C9A843" w14:textId="685D0E44" w:rsidR="001A5E58" w:rsidRDefault="367B7873">
      <w:pPr>
        <w:spacing w:before="240" w:after="240"/>
        <w:rPr>
          <w:sz w:val="28"/>
          <w:szCs w:val="28"/>
        </w:rPr>
      </w:pPr>
      <w:r w:rsidRPr="3C85173F">
        <w:rPr>
          <w:sz w:val="28"/>
          <w:szCs w:val="28"/>
        </w:rPr>
        <w:t xml:space="preserve">While there may be a behavioural dampening effect from lower electricity prices, the primary role of </w:t>
      </w:r>
      <w:r w:rsidR="2F422F0F" w:rsidRPr="3C85173F">
        <w:rPr>
          <w:sz w:val="28"/>
          <w:szCs w:val="28"/>
        </w:rPr>
        <w:t>targeted bill support</w:t>
      </w:r>
      <w:r w:rsidRPr="3C85173F">
        <w:rPr>
          <w:sz w:val="28"/>
          <w:szCs w:val="28"/>
        </w:rPr>
        <w:t xml:space="preserve"> is to protect struggling households, not to incentivise technological change. That said, it makes it all the more important that other policies support households who </w:t>
      </w:r>
      <w:r w:rsidRPr="3C85173F">
        <w:rPr>
          <w:i/>
          <w:iCs/>
          <w:sz w:val="28"/>
          <w:szCs w:val="28"/>
        </w:rPr>
        <w:t>could</w:t>
      </w:r>
      <w:r w:rsidRPr="3C85173F">
        <w:rPr>
          <w:sz w:val="28"/>
          <w:szCs w:val="28"/>
        </w:rPr>
        <w:t xml:space="preserve"> significantly reduce their bills by using clean technologies or shifting their energy use. In France, the </w:t>
      </w:r>
      <w:proofErr w:type="spellStart"/>
      <w:r w:rsidRPr="3C85173F">
        <w:rPr>
          <w:i/>
          <w:iCs/>
          <w:sz w:val="28"/>
          <w:szCs w:val="28"/>
        </w:rPr>
        <w:t>chèque</w:t>
      </w:r>
      <w:proofErr w:type="spellEnd"/>
      <w:r w:rsidRPr="3C85173F">
        <w:rPr>
          <w:i/>
          <w:iCs/>
          <w:sz w:val="28"/>
          <w:szCs w:val="28"/>
        </w:rPr>
        <w:t xml:space="preserve"> </w:t>
      </w:r>
      <w:proofErr w:type="spellStart"/>
      <w:r w:rsidRPr="3C85173F">
        <w:rPr>
          <w:i/>
          <w:iCs/>
          <w:sz w:val="28"/>
          <w:szCs w:val="28"/>
        </w:rPr>
        <w:t>énergie</w:t>
      </w:r>
      <w:proofErr w:type="spellEnd"/>
      <w:r w:rsidRPr="3C85173F">
        <w:rPr>
          <w:sz w:val="28"/>
          <w:szCs w:val="28"/>
        </w:rPr>
        <w:t xml:space="preserve"> system provides a fixed discount on bills for vulnerable </w:t>
      </w:r>
      <w:r w:rsidR="6E27F762" w:rsidRPr="3C85173F">
        <w:rPr>
          <w:sz w:val="28"/>
          <w:szCs w:val="28"/>
        </w:rPr>
        <w:t>customers</w:t>
      </w:r>
      <w:r w:rsidRPr="3C85173F">
        <w:rPr>
          <w:sz w:val="28"/>
          <w:szCs w:val="28"/>
        </w:rPr>
        <w:t>, but can also be used for energy efficiency upgrades. A similar approach in the UK could target grants to households with high potential to reduce bills through clean tech</w:t>
      </w:r>
      <w:r w:rsidR="45971193" w:rsidRPr="3C85173F">
        <w:rPr>
          <w:sz w:val="28"/>
          <w:szCs w:val="28"/>
        </w:rPr>
        <w:t>nology</w:t>
      </w:r>
      <w:r w:rsidRPr="3C85173F">
        <w:rPr>
          <w:sz w:val="28"/>
          <w:szCs w:val="28"/>
        </w:rPr>
        <w:t xml:space="preserve"> and smarter energy use.</w:t>
      </w:r>
    </w:p>
    <w:p w14:paraId="4748D6F9" w14:textId="11A02F0B" w:rsidR="001A5E58" w:rsidRDefault="71E812B3">
      <w:pPr>
        <w:spacing w:before="240" w:after="240"/>
        <w:rPr>
          <w:sz w:val="28"/>
          <w:szCs w:val="28"/>
        </w:rPr>
      </w:pPr>
      <w:r w:rsidRPr="3C85173F">
        <w:rPr>
          <w:sz w:val="28"/>
          <w:szCs w:val="28"/>
        </w:rPr>
        <w:t xml:space="preserve">To do this well, the government will need better data on household energy needs and usage patterns. A clearer understanding of which households could benefit, and what is stopping them, would allow support to go beyond </w:t>
      </w:r>
      <w:r w:rsidR="087E33BF" w:rsidRPr="3C85173F">
        <w:rPr>
          <w:sz w:val="28"/>
          <w:szCs w:val="28"/>
        </w:rPr>
        <w:t xml:space="preserve">just </w:t>
      </w:r>
      <w:r w:rsidRPr="3C85173F">
        <w:rPr>
          <w:sz w:val="28"/>
          <w:szCs w:val="28"/>
        </w:rPr>
        <w:t xml:space="preserve">discounts. This could reduce long-term reliance on subsidies by helping more people lower their bills through efficient, flexible consumption where possible. </w:t>
      </w:r>
      <w:r w:rsidR="10B26033" w:rsidRPr="3C85173F">
        <w:rPr>
          <w:sz w:val="28"/>
          <w:szCs w:val="28"/>
        </w:rPr>
        <w:t>Targeted bill support</w:t>
      </w:r>
      <w:r w:rsidRPr="3C85173F">
        <w:rPr>
          <w:sz w:val="28"/>
          <w:szCs w:val="28"/>
        </w:rPr>
        <w:t xml:space="preserve"> </w:t>
      </w:r>
      <w:r w:rsidRPr="3C85173F">
        <w:rPr>
          <w:sz w:val="28"/>
          <w:szCs w:val="28"/>
        </w:rPr>
        <w:lastRenderedPageBreak/>
        <w:t>must provide immediate protection, but it should also work alongside wider efforts to build a more inclusive, resilient and low-carbon energy system</w:t>
      </w:r>
      <w:r w:rsidR="398A1797" w:rsidRPr="3C85173F">
        <w:rPr>
          <w:sz w:val="28"/>
          <w:szCs w:val="28"/>
        </w:rPr>
        <w:t xml:space="preserve"> as considered in the government’s Warm Homes Plan</w:t>
      </w:r>
      <w:r w:rsidRPr="3C85173F">
        <w:rPr>
          <w:sz w:val="28"/>
          <w:szCs w:val="28"/>
        </w:rPr>
        <w:t>.</w:t>
      </w:r>
    </w:p>
    <w:p w14:paraId="506BF6FB" w14:textId="77777777" w:rsidR="001A5E58" w:rsidRDefault="00F84F72">
      <w:pPr>
        <w:spacing w:before="240" w:after="240"/>
        <w:rPr>
          <w:sz w:val="28"/>
          <w:szCs w:val="28"/>
        </w:rPr>
      </w:pPr>
      <w:r>
        <w:br w:type="page"/>
      </w:r>
    </w:p>
    <w:p w14:paraId="58EEE3EF" w14:textId="77777777" w:rsidR="001A5E58" w:rsidRDefault="00F84F72">
      <w:pPr>
        <w:pStyle w:val="Heading1"/>
        <w:ind w:left="0" w:firstLine="0"/>
      </w:pPr>
      <w:bookmarkStart w:id="20" w:name="_Toc202861065"/>
      <w:r>
        <w:lastRenderedPageBreak/>
        <w:t>03 Designing targeted bill support</w:t>
      </w:r>
      <w:bookmarkEnd w:id="20"/>
    </w:p>
    <w:p w14:paraId="5FAB1F1D" w14:textId="77777777" w:rsidR="001A5E58" w:rsidRDefault="00F84F72">
      <w:pPr>
        <w:rPr>
          <w:sz w:val="28"/>
          <w:szCs w:val="28"/>
        </w:rPr>
      </w:pPr>
      <w:r>
        <w:rPr>
          <w:sz w:val="28"/>
          <w:szCs w:val="28"/>
        </w:rPr>
        <w:t>The previous chapter made the case for adopting a payment-based model for targeted bill support, as it provides cost-effective support that is compatible with an evolving market of dynamic pricing and smart, green technologies. This chapter delves into the key design features of a new payment-based targeted bill discount that addresses the limitations of the existing Warm Home Discount. Specifically, it considers: Who should be eligible? How much support should they receive? How can cliff edges be softened? Who should bear the costs, and what are the distributional impacts?</w:t>
      </w:r>
    </w:p>
    <w:p w14:paraId="42D58CD4" w14:textId="02634696" w:rsidR="001A5E58" w:rsidRDefault="367B7873">
      <w:r w:rsidRPr="3C85173F">
        <w:rPr>
          <w:sz w:val="28"/>
          <w:szCs w:val="28"/>
        </w:rPr>
        <w:t xml:space="preserve">To answer these questions, Public First modelled two payment-based options for targeted bill support with different eligibility scenarios, detailed in Table </w:t>
      </w:r>
      <w:r w:rsidR="6A0EC6AA" w:rsidRPr="3C85173F">
        <w:rPr>
          <w:sz w:val="28"/>
          <w:szCs w:val="28"/>
        </w:rPr>
        <w:t>3</w:t>
      </w:r>
      <w:r w:rsidRPr="3C85173F">
        <w:rPr>
          <w:sz w:val="28"/>
          <w:szCs w:val="28"/>
        </w:rPr>
        <w:t>. These include:</w:t>
      </w:r>
    </w:p>
    <w:p w14:paraId="15886D12" w14:textId="77777777" w:rsidR="001A5E58" w:rsidRDefault="00F84F72">
      <w:pPr>
        <w:numPr>
          <w:ilvl w:val="0"/>
          <w:numId w:val="26"/>
        </w:numPr>
        <w:rPr>
          <w:sz w:val="28"/>
          <w:szCs w:val="28"/>
        </w:rPr>
      </w:pPr>
      <w:r>
        <w:rPr>
          <w:b/>
          <w:sz w:val="28"/>
          <w:szCs w:val="28"/>
        </w:rPr>
        <w:t>A formula-based payment</w:t>
      </w:r>
      <w:r>
        <w:rPr>
          <w:sz w:val="28"/>
          <w:szCs w:val="28"/>
        </w:rPr>
        <w:t>, where the level of support is calculated based on certain criteria - in this case, income - to avoid harsh cliff edges of support.  Booster flat payments are also modelled to address the need for varying levels of support within eligibility criteria. The formula-based approach modelled tapers support from £700 down to £0 for households with up to £30,000 equivalised household income.</w:t>
      </w:r>
    </w:p>
    <w:p w14:paraId="2DCD0D07" w14:textId="02D68A1D" w:rsidR="001A5E58" w:rsidRDefault="497E5335">
      <w:pPr>
        <w:numPr>
          <w:ilvl w:val="0"/>
          <w:numId w:val="26"/>
        </w:numPr>
        <w:rPr>
          <w:sz w:val="28"/>
          <w:szCs w:val="28"/>
        </w:rPr>
      </w:pPr>
      <w:r w:rsidRPr="1A6DFC8B">
        <w:rPr>
          <w:b/>
          <w:bCs/>
          <w:sz w:val="28"/>
          <w:szCs w:val="28"/>
        </w:rPr>
        <w:t>A fixed discount</w:t>
      </w:r>
      <w:r w:rsidRPr="1A6DFC8B">
        <w:rPr>
          <w:sz w:val="28"/>
          <w:szCs w:val="28"/>
        </w:rPr>
        <w:t xml:space="preserve">, whereby eligible households receive the same flat payment off their bills, as is the case with the current WHD. Booster flat payments are also modelled to address the need for varying levels of support within eligibility criteria. </w:t>
      </w:r>
    </w:p>
    <w:p w14:paraId="2E7995F1" w14:textId="6A2DE10D" w:rsidR="001A5E58" w:rsidRDefault="06C44278">
      <w:pPr>
        <w:rPr>
          <w:sz w:val="28"/>
          <w:szCs w:val="28"/>
        </w:rPr>
      </w:pPr>
      <w:r w:rsidRPr="3C85173F">
        <w:rPr>
          <w:sz w:val="28"/>
          <w:szCs w:val="28"/>
        </w:rPr>
        <w:t xml:space="preserve">The </w:t>
      </w:r>
      <w:r w:rsidR="71E812B3" w:rsidRPr="3C85173F">
        <w:rPr>
          <w:sz w:val="28"/>
          <w:szCs w:val="28"/>
        </w:rPr>
        <w:t xml:space="preserve">modelling and analysis of different payment-based approaches to targeted bill support highlights several key design principles and trade-offs that policymakers must navigate when </w:t>
      </w:r>
      <w:r w:rsidR="086338FC" w:rsidRPr="3C85173F">
        <w:rPr>
          <w:sz w:val="28"/>
          <w:szCs w:val="28"/>
        </w:rPr>
        <w:t>improving and/or replacing</w:t>
      </w:r>
      <w:r w:rsidR="71E812B3" w:rsidRPr="3C85173F">
        <w:rPr>
          <w:sz w:val="28"/>
          <w:szCs w:val="28"/>
        </w:rPr>
        <w:t xml:space="preserve"> the Warm Home Discount.</w:t>
      </w:r>
    </w:p>
    <w:p w14:paraId="242D92E0" w14:textId="2EA6B62A" w:rsidR="3C85173F" w:rsidRDefault="3C85173F" w:rsidP="3C85173F">
      <w:pPr>
        <w:rPr>
          <w:sz w:val="28"/>
          <w:szCs w:val="28"/>
        </w:rPr>
      </w:pPr>
    </w:p>
    <w:p w14:paraId="097A1492" w14:textId="77777777" w:rsidR="001A5E58" w:rsidRDefault="00F84F72">
      <w:pPr>
        <w:numPr>
          <w:ilvl w:val="0"/>
          <w:numId w:val="29"/>
        </w:numPr>
        <w:rPr>
          <w:sz w:val="28"/>
          <w:szCs w:val="28"/>
        </w:rPr>
      </w:pPr>
      <w:r>
        <w:rPr>
          <w:b/>
          <w:sz w:val="28"/>
          <w:szCs w:val="28"/>
        </w:rPr>
        <w:lastRenderedPageBreak/>
        <w:t>Existing eligibility criteria, based primarily on the benefits system, miss more fuel-poor households than they reach.</w:t>
      </w:r>
      <w:r>
        <w:rPr>
          <w:sz w:val="28"/>
          <w:szCs w:val="28"/>
        </w:rPr>
        <w:t xml:space="preserve"> Chapter One identified low income and disability as the two strongest predictors of energy affordability pressure, yet many households with these characteristics are excluded under current rules. Expanding criteria to include equivalised household incomes under £30,000 and those on or eligible for disability-related support could reach as many as 9 million households with affordability challenges.</w:t>
      </w:r>
    </w:p>
    <w:p w14:paraId="2B73EC99" w14:textId="2B2DE972" w:rsidR="001A5E58" w:rsidRDefault="3DE4D3F4">
      <w:pPr>
        <w:numPr>
          <w:ilvl w:val="0"/>
          <w:numId w:val="29"/>
        </w:numPr>
        <w:rPr>
          <w:sz w:val="28"/>
          <w:szCs w:val="28"/>
        </w:rPr>
      </w:pPr>
      <w:r w:rsidRPr="1A6DFC8B">
        <w:rPr>
          <w:b/>
          <w:bCs/>
          <w:sz w:val="28"/>
          <w:szCs w:val="28"/>
        </w:rPr>
        <w:t xml:space="preserve">Income-based, tapered payments are more cost-effective and fair. </w:t>
      </w:r>
      <w:r w:rsidRPr="1A6DFC8B">
        <w:rPr>
          <w:sz w:val="28"/>
          <w:szCs w:val="28"/>
        </w:rPr>
        <w:t xml:space="preserve">A formula-based discount linked to income delivers deeper and better-targeted support than fixed payment schemes like the WHD. For </w:t>
      </w:r>
      <w:r w:rsidR="72986F6E" w:rsidRPr="1A6DFC8B">
        <w:rPr>
          <w:sz w:val="28"/>
          <w:szCs w:val="28"/>
        </w:rPr>
        <w:t xml:space="preserve">a similar policy cost, </w:t>
      </w:r>
      <w:r w:rsidRPr="1A6DFC8B">
        <w:rPr>
          <w:sz w:val="28"/>
          <w:szCs w:val="28"/>
        </w:rPr>
        <w:t xml:space="preserve">a formula-based income-linked payment could lift </w:t>
      </w:r>
      <w:r w:rsidR="2F74E4BC" w:rsidRPr="1A6DFC8B">
        <w:rPr>
          <w:sz w:val="28"/>
          <w:szCs w:val="28"/>
        </w:rPr>
        <w:t>93</w:t>
      </w:r>
      <w:r w:rsidRPr="1A6DFC8B">
        <w:rPr>
          <w:sz w:val="28"/>
          <w:szCs w:val="28"/>
        </w:rPr>
        <w:t>0,000 households out of fuel poverty</w:t>
      </w:r>
      <w:r w:rsidR="72986F6E" w:rsidRPr="1A6DFC8B">
        <w:rPr>
          <w:sz w:val="28"/>
          <w:szCs w:val="28"/>
        </w:rPr>
        <w:t xml:space="preserve"> for £2.4bn</w:t>
      </w:r>
      <w:r w:rsidRPr="1A6DFC8B">
        <w:rPr>
          <w:sz w:val="28"/>
          <w:szCs w:val="28"/>
        </w:rPr>
        <w:t xml:space="preserve">, </w:t>
      </w:r>
      <w:r w:rsidR="16FD0127" w:rsidRPr="1A6DFC8B">
        <w:rPr>
          <w:sz w:val="28"/>
          <w:szCs w:val="28"/>
        </w:rPr>
        <w:t>42</w:t>
      </w:r>
      <w:r w:rsidRPr="1A6DFC8B">
        <w:rPr>
          <w:sz w:val="28"/>
          <w:szCs w:val="28"/>
        </w:rPr>
        <w:t>0,000 more than a fixe</w:t>
      </w:r>
      <w:r w:rsidR="72986F6E" w:rsidRPr="1A6DFC8B">
        <w:rPr>
          <w:sz w:val="28"/>
          <w:szCs w:val="28"/>
        </w:rPr>
        <w:t>d, uprated WHD of</w:t>
      </w:r>
      <w:r w:rsidRPr="1A6DFC8B">
        <w:rPr>
          <w:sz w:val="28"/>
          <w:szCs w:val="28"/>
        </w:rPr>
        <w:t xml:space="preserve"> £400</w:t>
      </w:r>
      <w:r w:rsidR="72986F6E" w:rsidRPr="1A6DFC8B">
        <w:rPr>
          <w:sz w:val="28"/>
          <w:szCs w:val="28"/>
        </w:rPr>
        <w:t xml:space="preserve"> costing £2.1bn</w:t>
      </w:r>
      <w:r w:rsidRPr="1A6DFC8B">
        <w:rPr>
          <w:sz w:val="28"/>
          <w:szCs w:val="28"/>
        </w:rPr>
        <w:t>, and reduce the cost of bringing a household out of fuel poverty by over a third.</w:t>
      </w:r>
    </w:p>
    <w:p w14:paraId="19486EF8" w14:textId="6DC435F4" w:rsidR="001A5E58" w:rsidRDefault="5B43EAB0">
      <w:pPr>
        <w:numPr>
          <w:ilvl w:val="0"/>
          <w:numId w:val="29"/>
        </w:numPr>
        <w:rPr>
          <w:sz w:val="28"/>
          <w:szCs w:val="28"/>
        </w:rPr>
      </w:pPr>
      <w:r w:rsidRPr="1A6DFC8B">
        <w:rPr>
          <w:b/>
          <w:bCs/>
          <w:sz w:val="28"/>
          <w:szCs w:val="28"/>
        </w:rPr>
        <w:t xml:space="preserve">Booster payments help close remaining gaps, bringing hundreds of thousands more households out of fuel poverty. </w:t>
      </w:r>
      <w:r w:rsidR="6C01F9D0" w:rsidRPr="1A6DFC8B">
        <w:rPr>
          <w:sz w:val="28"/>
          <w:szCs w:val="28"/>
        </w:rPr>
        <w:t>£100 top-up payments for disabled households and (already eligible) low-income standard credit customers</w:t>
      </w:r>
      <w:r w:rsidR="0D1709A0" w:rsidRPr="1A6DFC8B">
        <w:rPr>
          <w:sz w:val="28"/>
          <w:szCs w:val="28"/>
        </w:rPr>
        <w:t xml:space="preserve"> </w:t>
      </w:r>
      <w:r w:rsidRPr="1A6DFC8B">
        <w:rPr>
          <w:sz w:val="28"/>
          <w:szCs w:val="28"/>
        </w:rPr>
        <w:t>can support those with higher energy needs, bringing as m</w:t>
      </w:r>
      <w:r w:rsidR="1814BD58" w:rsidRPr="1A6DFC8B">
        <w:rPr>
          <w:sz w:val="28"/>
          <w:szCs w:val="28"/>
        </w:rPr>
        <w:t>any</w:t>
      </w:r>
      <w:r w:rsidRPr="1A6DFC8B">
        <w:rPr>
          <w:sz w:val="28"/>
          <w:szCs w:val="28"/>
        </w:rPr>
        <w:t xml:space="preserve"> as </w:t>
      </w:r>
      <w:r w:rsidR="209498F0" w:rsidRPr="1A6DFC8B">
        <w:rPr>
          <w:sz w:val="28"/>
          <w:szCs w:val="28"/>
        </w:rPr>
        <w:t>2</w:t>
      </w:r>
      <w:r w:rsidRPr="1A6DFC8B">
        <w:rPr>
          <w:sz w:val="28"/>
          <w:szCs w:val="28"/>
        </w:rPr>
        <w:t>00,000 more households out of fuel poverty</w:t>
      </w:r>
      <w:r w:rsidR="26359ED5" w:rsidRPr="1A6DFC8B">
        <w:rPr>
          <w:sz w:val="28"/>
          <w:szCs w:val="28"/>
        </w:rPr>
        <w:t xml:space="preserve"> for a total of </w:t>
      </w:r>
      <w:r w:rsidRPr="1A6DFC8B">
        <w:rPr>
          <w:sz w:val="28"/>
          <w:szCs w:val="28"/>
        </w:rPr>
        <w:t>£</w:t>
      </w:r>
      <w:r w:rsidR="78316088" w:rsidRPr="1A6DFC8B">
        <w:rPr>
          <w:sz w:val="28"/>
          <w:szCs w:val="28"/>
        </w:rPr>
        <w:t>4</w:t>
      </w:r>
      <w:r w:rsidRPr="1A6DFC8B">
        <w:rPr>
          <w:sz w:val="28"/>
          <w:szCs w:val="28"/>
        </w:rPr>
        <w:t>.</w:t>
      </w:r>
      <w:r w:rsidR="253D9014" w:rsidRPr="1A6DFC8B">
        <w:rPr>
          <w:sz w:val="28"/>
          <w:szCs w:val="28"/>
        </w:rPr>
        <w:t>1</w:t>
      </w:r>
      <w:r w:rsidRPr="1A6DFC8B">
        <w:rPr>
          <w:sz w:val="28"/>
          <w:szCs w:val="28"/>
        </w:rPr>
        <w:t>bn.</w:t>
      </w:r>
    </w:p>
    <w:p w14:paraId="0AD5DB37" w14:textId="1C1610FF" w:rsidR="001A5E58" w:rsidRDefault="3BA698CF">
      <w:pPr>
        <w:numPr>
          <w:ilvl w:val="0"/>
          <w:numId w:val="29"/>
        </w:numPr>
        <w:rPr>
          <w:sz w:val="28"/>
          <w:szCs w:val="28"/>
        </w:rPr>
      </w:pPr>
      <w:r w:rsidRPr="1A6DFC8B">
        <w:rPr>
          <w:b/>
          <w:bCs/>
          <w:sz w:val="28"/>
          <w:szCs w:val="28"/>
        </w:rPr>
        <w:t>An entirely-b</w:t>
      </w:r>
      <w:r w:rsidR="5B43EAB0" w:rsidRPr="1A6DFC8B">
        <w:rPr>
          <w:b/>
          <w:bCs/>
          <w:sz w:val="28"/>
          <w:szCs w:val="28"/>
        </w:rPr>
        <w:t>illpayer</w:t>
      </w:r>
      <w:r w:rsidR="39580DE6" w:rsidRPr="1A6DFC8B">
        <w:rPr>
          <w:b/>
          <w:bCs/>
          <w:sz w:val="28"/>
          <w:szCs w:val="28"/>
        </w:rPr>
        <w:t xml:space="preserve">-funded scheme </w:t>
      </w:r>
      <w:r w:rsidR="5B43EAB0" w:rsidRPr="1A6DFC8B">
        <w:rPr>
          <w:b/>
          <w:bCs/>
          <w:sz w:val="28"/>
          <w:szCs w:val="28"/>
        </w:rPr>
        <w:t xml:space="preserve">is regressive and penalises non-recipients. </w:t>
      </w:r>
      <w:r w:rsidR="5B43EAB0" w:rsidRPr="1A6DFC8B">
        <w:rPr>
          <w:sz w:val="28"/>
          <w:szCs w:val="28"/>
        </w:rPr>
        <w:t>Funding targeted bill support via energy bills (as WHD is funded) would raise bills for households across all key demographic groups by, under the most expensive scenario, an average of around £100 a year. This undermines fairness, especially for those just above the eligibility threshold.</w:t>
      </w:r>
    </w:p>
    <w:p w14:paraId="58E6A55A" w14:textId="4D70451F" w:rsidR="001A5E58" w:rsidRDefault="5F8D2CFA" w:rsidP="3C85173F">
      <w:pPr>
        <w:numPr>
          <w:ilvl w:val="0"/>
          <w:numId w:val="29"/>
        </w:numPr>
        <w:spacing w:line="259" w:lineRule="auto"/>
        <w:rPr>
          <w:sz w:val="28"/>
          <w:szCs w:val="28"/>
        </w:rPr>
      </w:pPr>
      <w:r w:rsidRPr="3C85173F">
        <w:rPr>
          <w:b/>
          <w:bCs/>
          <w:sz w:val="28"/>
          <w:szCs w:val="28"/>
        </w:rPr>
        <w:t>Fiscal constraints warrant consideration of a mixed-funding approach.</w:t>
      </w:r>
      <w:r w:rsidR="673D8A7C" w:rsidRPr="3C85173F">
        <w:rPr>
          <w:b/>
          <w:bCs/>
          <w:sz w:val="28"/>
          <w:szCs w:val="28"/>
        </w:rPr>
        <w:t xml:space="preserve"> </w:t>
      </w:r>
      <w:r w:rsidR="25C706AA" w:rsidRPr="3C85173F">
        <w:rPr>
          <w:sz w:val="28"/>
          <w:szCs w:val="28"/>
        </w:rPr>
        <w:t>An</w:t>
      </w:r>
      <w:r w:rsidR="752FD8A7" w:rsidRPr="3C85173F">
        <w:rPr>
          <w:sz w:val="28"/>
          <w:szCs w:val="28"/>
        </w:rPr>
        <w:t xml:space="preserve"> entirely-</w:t>
      </w:r>
      <w:r w:rsidR="673D8A7C" w:rsidRPr="3C85173F">
        <w:rPr>
          <w:sz w:val="28"/>
          <w:szCs w:val="28"/>
        </w:rPr>
        <w:t xml:space="preserve">government-funded bill discount scheme </w:t>
      </w:r>
      <w:r w:rsidR="53D0F5CB" w:rsidRPr="3C85173F">
        <w:rPr>
          <w:sz w:val="28"/>
          <w:szCs w:val="28"/>
        </w:rPr>
        <w:t>is preferable, as it is more progressive</w:t>
      </w:r>
      <w:r w:rsidR="31B45CF4" w:rsidRPr="3C85173F">
        <w:rPr>
          <w:sz w:val="28"/>
          <w:szCs w:val="28"/>
        </w:rPr>
        <w:t xml:space="preserve"> through the tax system than on bills. However,</w:t>
      </w:r>
      <w:r w:rsidR="53D0F5CB" w:rsidRPr="3C85173F">
        <w:rPr>
          <w:sz w:val="28"/>
          <w:szCs w:val="28"/>
        </w:rPr>
        <w:t xml:space="preserve"> </w:t>
      </w:r>
      <w:r w:rsidR="3B4D7DF3" w:rsidRPr="3C85173F">
        <w:rPr>
          <w:sz w:val="28"/>
          <w:szCs w:val="28"/>
        </w:rPr>
        <w:t xml:space="preserve">fiscal constraints on public expenditure limit the potential size, generosity and viability of a targeted bill support scheme. As such, </w:t>
      </w:r>
      <w:r w:rsidR="01A34FA3" w:rsidRPr="3C85173F">
        <w:rPr>
          <w:sz w:val="28"/>
          <w:szCs w:val="28"/>
        </w:rPr>
        <w:t>policymakers could consider a mixed funding approach, part-funded through taxpayers and billpayers.</w:t>
      </w:r>
    </w:p>
    <w:p w14:paraId="4E2962D2" w14:textId="372E25B6" w:rsidR="00790237" w:rsidRDefault="497E5335" w:rsidP="7E2D8D79">
      <w:pPr>
        <w:spacing w:before="200" w:after="120"/>
        <w:rPr>
          <w:b/>
          <w:bCs/>
          <w:sz w:val="28"/>
          <w:szCs w:val="28"/>
        </w:rPr>
      </w:pPr>
      <w:r w:rsidRPr="1A6DFC8B">
        <w:rPr>
          <w:sz w:val="28"/>
          <w:szCs w:val="28"/>
        </w:rPr>
        <w:t>Policy costs are modelled as the cost of direct financial support on energy bills. These costs are not inclusive of the existing WHD budget and also do not include wider industry initiative costs. The modelling of average bill changes also includes the cost of the policy to deliver, if it were bill-funded. This is not an endorsement for the policy to be entirely-bill-funded, but rather a helpful guide on costs.</w:t>
      </w:r>
    </w:p>
    <w:p w14:paraId="54463292" w14:textId="77777777" w:rsidR="007A2EEE" w:rsidRDefault="007A2EEE" w:rsidP="7E2D8D79">
      <w:pPr>
        <w:spacing w:before="200" w:after="120"/>
        <w:rPr>
          <w:b/>
          <w:bCs/>
          <w:sz w:val="28"/>
          <w:szCs w:val="28"/>
        </w:rPr>
      </w:pPr>
    </w:p>
    <w:p w14:paraId="44070736" w14:textId="1842C32C" w:rsidR="001A5E58" w:rsidRDefault="6AC31BFA" w:rsidP="7E2D8D79">
      <w:pPr>
        <w:spacing w:before="200" w:after="120"/>
        <w:rPr>
          <w:b/>
          <w:bCs/>
          <w:sz w:val="28"/>
          <w:szCs w:val="28"/>
        </w:rPr>
      </w:pPr>
      <w:r w:rsidRPr="1A6DFC8B">
        <w:rPr>
          <w:b/>
          <w:bCs/>
          <w:sz w:val="28"/>
          <w:szCs w:val="28"/>
        </w:rPr>
        <w:lastRenderedPageBreak/>
        <w:t>T</w:t>
      </w:r>
      <w:r w:rsidR="5B43EAB0" w:rsidRPr="1A6DFC8B">
        <w:rPr>
          <w:b/>
          <w:bCs/>
          <w:sz w:val="28"/>
          <w:szCs w:val="28"/>
        </w:rPr>
        <w:t xml:space="preserve">able </w:t>
      </w:r>
      <w:r w:rsidR="1ABEED64" w:rsidRPr="1A6DFC8B">
        <w:rPr>
          <w:b/>
          <w:bCs/>
          <w:sz w:val="28"/>
          <w:szCs w:val="28"/>
        </w:rPr>
        <w:t>3</w:t>
      </w:r>
      <w:r w:rsidR="5B43EAB0" w:rsidRPr="1A6DFC8B">
        <w:rPr>
          <w:b/>
          <w:bCs/>
          <w:sz w:val="28"/>
          <w:szCs w:val="28"/>
        </w:rPr>
        <w:t>: Policy costs and benefits of payment-based targeted bill support scenarios</w:t>
      </w:r>
    </w:p>
    <w:tbl>
      <w:tblPr>
        <w:tblStyle w:val="TableGrid"/>
        <w:tblW w:w="0" w:type="auto"/>
        <w:tblInd w:w="-105" w:type="dxa"/>
        <w:tblLayout w:type="fixed"/>
        <w:tblLook w:val="06A0" w:firstRow="1" w:lastRow="0" w:firstColumn="1" w:lastColumn="0" w:noHBand="1" w:noVBand="1"/>
      </w:tblPr>
      <w:tblGrid>
        <w:gridCol w:w="1264"/>
        <w:gridCol w:w="1264"/>
        <w:gridCol w:w="1264"/>
        <w:gridCol w:w="700"/>
        <w:gridCol w:w="283"/>
        <w:gridCol w:w="281"/>
        <w:gridCol w:w="1264"/>
        <w:gridCol w:w="1264"/>
        <w:gridCol w:w="1264"/>
        <w:gridCol w:w="747"/>
        <w:gridCol w:w="271"/>
        <w:gridCol w:w="246"/>
      </w:tblGrid>
      <w:tr w:rsidR="00480236" w14:paraId="21B25BA7" w14:textId="77777777" w:rsidTr="002B1608">
        <w:trPr>
          <w:trHeight w:val="315"/>
        </w:trPr>
        <w:tc>
          <w:tcPr>
            <w:tcW w:w="1264"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9900"/>
            <w:tcMar>
              <w:top w:w="30" w:type="dxa"/>
              <w:left w:w="45" w:type="dxa"/>
              <w:bottom w:w="30" w:type="dxa"/>
              <w:right w:w="45" w:type="dxa"/>
            </w:tcMar>
          </w:tcPr>
          <w:p w14:paraId="2604C502" w14:textId="140E05AC" w:rsidR="00480236" w:rsidRDefault="00480236" w:rsidP="00480236">
            <w:pPr>
              <w:rPr>
                <w:sz w:val="18"/>
                <w:szCs w:val="18"/>
              </w:rPr>
            </w:pPr>
          </w:p>
        </w:tc>
        <w:tc>
          <w:tcPr>
            <w:tcW w:w="3228" w:type="dxa"/>
            <w:gridSpan w:val="3"/>
            <w:tcBorders>
              <w:top w:val="single" w:sz="4" w:space="0" w:color="auto"/>
              <w:left w:val="single" w:sz="4" w:space="0" w:color="auto"/>
              <w:bottom w:val="single" w:sz="4" w:space="0" w:color="auto"/>
              <w:right w:val="nil"/>
            </w:tcBorders>
            <w:shd w:val="clear" w:color="auto" w:fill="FF9900"/>
            <w:tcMar>
              <w:top w:w="30" w:type="dxa"/>
              <w:left w:w="45" w:type="dxa"/>
              <w:bottom w:w="30" w:type="dxa"/>
              <w:right w:w="45" w:type="dxa"/>
            </w:tcMar>
            <w:vAlign w:val="bottom"/>
          </w:tcPr>
          <w:p w14:paraId="30BA7F1C" w14:textId="77777777" w:rsidR="00480236" w:rsidRPr="0024436B" w:rsidRDefault="00480236" w:rsidP="00480236">
            <w:pPr>
              <w:jc w:val="center"/>
              <w:rPr>
                <w:sz w:val="18"/>
                <w:szCs w:val="18"/>
              </w:rPr>
            </w:pPr>
            <w:r w:rsidRPr="0024436B">
              <w:rPr>
                <w:sz w:val="18"/>
                <w:szCs w:val="18"/>
              </w:rPr>
              <w:t xml:space="preserve">Formula-based payment </w:t>
            </w:r>
            <w:r w:rsidRPr="0024436B">
              <w:br/>
            </w:r>
            <w:r w:rsidRPr="0024436B">
              <w:br/>
            </w:r>
            <w:r w:rsidRPr="0024436B">
              <w:rPr>
                <w:sz w:val="18"/>
                <w:szCs w:val="18"/>
              </w:rPr>
              <w:t>(income-linked between £700 and £0 for £30k equivalised household income)</w:t>
            </w:r>
          </w:p>
        </w:tc>
        <w:tc>
          <w:tcPr>
            <w:tcW w:w="283" w:type="dxa"/>
            <w:tcBorders>
              <w:top w:val="single" w:sz="4" w:space="0" w:color="auto"/>
              <w:left w:val="nil"/>
              <w:bottom w:val="single" w:sz="4" w:space="0" w:color="auto"/>
              <w:right w:val="nil"/>
            </w:tcBorders>
            <w:shd w:val="clear" w:color="auto" w:fill="FF9900"/>
            <w:vAlign w:val="bottom"/>
          </w:tcPr>
          <w:p w14:paraId="7DAB1BFA" w14:textId="1AB7BF79" w:rsidR="00480236" w:rsidRPr="00480236" w:rsidRDefault="00480236" w:rsidP="00480236">
            <w:pPr>
              <w:jc w:val="center"/>
              <w:rPr>
                <w:color w:val="FF9900"/>
                <w:sz w:val="2"/>
                <w:szCs w:val="2"/>
              </w:rPr>
            </w:pPr>
            <w:r w:rsidRPr="00480236">
              <w:rPr>
                <w:color w:val="FF9900"/>
                <w:sz w:val="2"/>
                <w:szCs w:val="2"/>
              </w:rPr>
              <w:t xml:space="preserve">Formula-based payment </w:t>
            </w:r>
            <w:r w:rsidRPr="00480236">
              <w:rPr>
                <w:color w:val="FF9900"/>
                <w:sz w:val="2"/>
                <w:szCs w:val="2"/>
              </w:rPr>
              <w:br/>
            </w:r>
            <w:r w:rsidRPr="00480236">
              <w:rPr>
                <w:color w:val="FF9900"/>
                <w:sz w:val="2"/>
                <w:szCs w:val="2"/>
              </w:rPr>
              <w:br/>
              <w:t>(income-linked between £700 and £0 for £30k equivalised household income)</w:t>
            </w:r>
          </w:p>
        </w:tc>
        <w:tc>
          <w:tcPr>
            <w:tcW w:w="281" w:type="dxa"/>
            <w:tcBorders>
              <w:top w:val="single" w:sz="4" w:space="0" w:color="auto"/>
              <w:left w:val="nil"/>
              <w:bottom w:val="single" w:sz="4" w:space="0" w:color="auto"/>
              <w:right w:val="single" w:sz="4" w:space="0" w:color="auto"/>
            </w:tcBorders>
            <w:shd w:val="clear" w:color="auto" w:fill="FF9900"/>
            <w:vAlign w:val="bottom"/>
          </w:tcPr>
          <w:p w14:paraId="5CC1180F" w14:textId="0FACAC58" w:rsidR="00480236" w:rsidRPr="00480236" w:rsidRDefault="00480236" w:rsidP="00480236">
            <w:pPr>
              <w:jc w:val="center"/>
              <w:rPr>
                <w:color w:val="FF9900"/>
                <w:sz w:val="2"/>
                <w:szCs w:val="2"/>
              </w:rPr>
            </w:pPr>
            <w:r w:rsidRPr="00480236">
              <w:rPr>
                <w:color w:val="FF9900"/>
                <w:sz w:val="2"/>
                <w:szCs w:val="2"/>
              </w:rPr>
              <w:t xml:space="preserve">Formula-based payment </w:t>
            </w:r>
            <w:r w:rsidRPr="00480236">
              <w:rPr>
                <w:color w:val="FF9900"/>
                <w:sz w:val="2"/>
                <w:szCs w:val="2"/>
              </w:rPr>
              <w:br/>
            </w:r>
            <w:r w:rsidRPr="00480236">
              <w:rPr>
                <w:color w:val="FF9900"/>
                <w:sz w:val="2"/>
                <w:szCs w:val="2"/>
              </w:rPr>
              <w:br/>
              <w:t>(income-linked between £700 and £0 for £30k equivalised household income)</w:t>
            </w:r>
          </w:p>
        </w:tc>
        <w:tc>
          <w:tcPr>
            <w:tcW w:w="1264" w:type="dxa"/>
            <w:tcBorders>
              <w:top w:val="single" w:sz="6" w:space="0" w:color="000000" w:themeColor="text1"/>
              <w:left w:val="single" w:sz="4" w:space="0" w:color="auto"/>
              <w:bottom w:val="single" w:sz="6" w:space="0" w:color="000000" w:themeColor="text1"/>
              <w:right w:val="single" w:sz="4" w:space="0" w:color="auto"/>
            </w:tcBorders>
            <w:shd w:val="clear" w:color="auto" w:fill="FF9900"/>
            <w:tcMar>
              <w:top w:w="30" w:type="dxa"/>
              <w:left w:w="45" w:type="dxa"/>
              <w:bottom w:w="30" w:type="dxa"/>
              <w:right w:w="45" w:type="dxa"/>
            </w:tcMar>
            <w:vAlign w:val="bottom"/>
          </w:tcPr>
          <w:p w14:paraId="431E5A88" w14:textId="4D09E367" w:rsidR="00480236" w:rsidRPr="0024436B" w:rsidRDefault="00480236" w:rsidP="00480236">
            <w:pPr>
              <w:jc w:val="center"/>
              <w:rPr>
                <w:sz w:val="18"/>
                <w:szCs w:val="18"/>
              </w:rPr>
            </w:pPr>
            <w:r w:rsidRPr="0024436B">
              <w:rPr>
                <w:sz w:val="18"/>
                <w:szCs w:val="18"/>
              </w:rPr>
              <w:t>Fixed payment (£150 - WHD)</w:t>
            </w:r>
          </w:p>
        </w:tc>
        <w:tc>
          <w:tcPr>
            <w:tcW w:w="3275" w:type="dxa"/>
            <w:gridSpan w:val="3"/>
            <w:tcBorders>
              <w:top w:val="single" w:sz="4" w:space="0" w:color="auto"/>
              <w:left w:val="single" w:sz="4" w:space="0" w:color="auto"/>
              <w:bottom w:val="single" w:sz="4" w:space="0" w:color="auto"/>
              <w:right w:val="nil"/>
            </w:tcBorders>
            <w:shd w:val="clear" w:color="auto" w:fill="FF9900"/>
            <w:tcMar>
              <w:top w:w="30" w:type="dxa"/>
              <w:left w:w="45" w:type="dxa"/>
              <w:bottom w:w="30" w:type="dxa"/>
              <w:right w:w="45" w:type="dxa"/>
            </w:tcMar>
            <w:vAlign w:val="bottom"/>
          </w:tcPr>
          <w:p w14:paraId="10C36B0B" w14:textId="77777777" w:rsidR="00480236" w:rsidRPr="0024436B" w:rsidRDefault="00480236" w:rsidP="00480236">
            <w:pPr>
              <w:jc w:val="center"/>
              <w:rPr>
                <w:sz w:val="18"/>
                <w:szCs w:val="18"/>
              </w:rPr>
            </w:pPr>
            <w:r w:rsidRPr="0024436B">
              <w:rPr>
                <w:sz w:val="18"/>
                <w:szCs w:val="18"/>
              </w:rPr>
              <w:t xml:space="preserve">Fixed payment (£400) </w:t>
            </w:r>
            <w:r w:rsidRPr="0024436B">
              <w:br/>
            </w:r>
            <w:r w:rsidRPr="0024436B">
              <w:br/>
            </w:r>
            <w:r w:rsidRPr="0024436B">
              <w:rPr>
                <w:sz w:val="18"/>
                <w:szCs w:val="18"/>
              </w:rPr>
              <w:t>(based on expanded WHD eligibility)</w:t>
            </w:r>
          </w:p>
        </w:tc>
        <w:tc>
          <w:tcPr>
            <w:tcW w:w="271" w:type="dxa"/>
            <w:tcBorders>
              <w:top w:val="single" w:sz="4" w:space="0" w:color="auto"/>
              <w:left w:val="nil"/>
              <w:bottom w:val="single" w:sz="4" w:space="0" w:color="auto"/>
              <w:right w:val="nil"/>
            </w:tcBorders>
            <w:shd w:val="clear" w:color="auto" w:fill="FF9900"/>
            <w:vAlign w:val="bottom"/>
          </w:tcPr>
          <w:p w14:paraId="33EE4C2E" w14:textId="357495CB" w:rsidR="00480236" w:rsidRPr="00A2059F" w:rsidRDefault="00480236" w:rsidP="00480236">
            <w:pPr>
              <w:jc w:val="center"/>
              <w:rPr>
                <w:color w:val="FF9900"/>
                <w:sz w:val="2"/>
                <w:szCs w:val="2"/>
              </w:rPr>
            </w:pPr>
            <w:r w:rsidRPr="00A2059F">
              <w:rPr>
                <w:color w:val="FF9900"/>
                <w:sz w:val="2"/>
                <w:szCs w:val="2"/>
              </w:rPr>
              <w:t xml:space="preserve">Fixed payment (£400) </w:t>
            </w:r>
            <w:r w:rsidRPr="00A2059F">
              <w:rPr>
                <w:color w:val="FF9900"/>
                <w:sz w:val="2"/>
                <w:szCs w:val="2"/>
              </w:rPr>
              <w:br/>
            </w:r>
            <w:r w:rsidRPr="00A2059F">
              <w:rPr>
                <w:color w:val="FF9900"/>
                <w:sz w:val="2"/>
                <w:szCs w:val="2"/>
              </w:rPr>
              <w:br/>
              <w:t>(based on expanded WHD eligibility)</w:t>
            </w:r>
          </w:p>
        </w:tc>
        <w:tc>
          <w:tcPr>
            <w:tcW w:w="246" w:type="dxa"/>
            <w:tcBorders>
              <w:top w:val="single" w:sz="4" w:space="0" w:color="auto"/>
              <w:left w:val="nil"/>
              <w:bottom w:val="single" w:sz="4" w:space="0" w:color="auto"/>
              <w:right w:val="single" w:sz="4" w:space="0" w:color="auto"/>
            </w:tcBorders>
            <w:shd w:val="clear" w:color="auto" w:fill="FF9900"/>
            <w:vAlign w:val="bottom"/>
          </w:tcPr>
          <w:p w14:paraId="01FB16F3" w14:textId="32CE3E9E" w:rsidR="00480236" w:rsidRPr="00A2059F" w:rsidRDefault="00480236" w:rsidP="00480236">
            <w:pPr>
              <w:jc w:val="center"/>
              <w:rPr>
                <w:sz w:val="2"/>
                <w:szCs w:val="2"/>
              </w:rPr>
            </w:pPr>
            <w:r w:rsidRPr="00A2059F">
              <w:rPr>
                <w:color w:val="FF9900"/>
                <w:sz w:val="2"/>
                <w:szCs w:val="2"/>
              </w:rPr>
              <w:t xml:space="preserve">Fixed payment (£400) </w:t>
            </w:r>
            <w:r w:rsidRPr="00A2059F">
              <w:rPr>
                <w:color w:val="FF9900"/>
                <w:sz w:val="2"/>
                <w:szCs w:val="2"/>
              </w:rPr>
              <w:br/>
            </w:r>
            <w:r w:rsidRPr="00A2059F">
              <w:rPr>
                <w:color w:val="FF9900"/>
                <w:sz w:val="2"/>
                <w:szCs w:val="2"/>
              </w:rPr>
              <w:br/>
              <w:t>(based on expanded WHD eligibility)</w:t>
            </w:r>
          </w:p>
        </w:tc>
      </w:tr>
      <w:tr w:rsidR="00480236" w14:paraId="498DFB14" w14:textId="77777777" w:rsidTr="00480236">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9900"/>
            <w:tcMar>
              <w:top w:w="30" w:type="dxa"/>
              <w:left w:w="45" w:type="dxa"/>
              <w:bottom w:w="30" w:type="dxa"/>
              <w:right w:w="45" w:type="dxa"/>
            </w:tcMar>
          </w:tcPr>
          <w:p w14:paraId="28AE4045" w14:textId="30722022" w:rsidR="00480236" w:rsidRDefault="00480236" w:rsidP="00480236">
            <w:pPr>
              <w:rPr>
                <w:sz w:val="18"/>
                <w:szCs w:val="18"/>
              </w:rPr>
            </w:pPr>
          </w:p>
        </w:tc>
        <w:tc>
          <w:tcPr>
            <w:tcW w:w="1264" w:type="dxa"/>
            <w:tcBorders>
              <w:top w:val="single" w:sz="4" w:space="0" w:color="auto"/>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4EDA8505" w14:textId="1C574751" w:rsidR="00480236" w:rsidRPr="0024436B" w:rsidRDefault="00480236" w:rsidP="00480236">
            <w:pPr>
              <w:jc w:val="center"/>
              <w:rPr>
                <w:sz w:val="18"/>
                <w:szCs w:val="18"/>
              </w:rPr>
            </w:pPr>
            <w:r w:rsidRPr="0024436B">
              <w:rPr>
                <w:sz w:val="18"/>
                <w:szCs w:val="18"/>
              </w:rPr>
              <w:t>1. No boosters</w:t>
            </w:r>
          </w:p>
        </w:tc>
        <w:tc>
          <w:tcPr>
            <w:tcW w:w="1264" w:type="dxa"/>
            <w:tcBorders>
              <w:top w:val="single" w:sz="4" w:space="0" w:color="auto"/>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1ADFEC59" w14:textId="12C6B817" w:rsidR="00480236" w:rsidRPr="0024436B" w:rsidRDefault="00480236" w:rsidP="00480236">
            <w:pPr>
              <w:rPr>
                <w:sz w:val="18"/>
                <w:szCs w:val="18"/>
              </w:rPr>
            </w:pPr>
            <w:r w:rsidRPr="0024436B">
              <w:rPr>
                <w:sz w:val="18"/>
                <w:szCs w:val="18"/>
              </w:rPr>
              <w:t>2. +£100 for disability claimants &amp; standard credit customers</w:t>
            </w:r>
          </w:p>
        </w:tc>
        <w:tc>
          <w:tcPr>
            <w:tcW w:w="1264" w:type="dxa"/>
            <w:gridSpan w:val="3"/>
            <w:tcBorders>
              <w:top w:val="single" w:sz="4" w:space="0" w:color="auto"/>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12EE4695" w14:textId="49E3A832" w:rsidR="00480236" w:rsidRPr="0024436B" w:rsidRDefault="00480236" w:rsidP="00480236">
            <w:pPr>
              <w:jc w:val="center"/>
              <w:rPr>
                <w:sz w:val="18"/>
                <w:szCs w:val="18"/>
              </w:rPr>
            </w:pPr>
            <w:r w:rsidRPr="0024436B">
              <w:rPr>
                <w:sz w:val="18"/>
                <w:szCs w:val="18"/>
              </w:rPr>
              <w:t>3. +£100 per adult with Equality Act disability &amp; standard credit customers</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3C1A5006" w14:textId="3B4A4F85" w:rsidR="00480236" w:rsidRPr="0024436B" w:rsidRDefault="00480236" w:rsidP="00480236">
            <w:pPr>
              <w:jc w:val="center"/>
              <w:rPr>
                <w:sz w:val="18"/>
                <w:szCs w:val="18"/>
              </w:rPr>
            </w:pPr>
            <w:r w:rsidRPr="0024436B">
              <w:rPr>
                <w:sz w:val="18"/>
                <w:szCs w:val="18"/>
              </w:rPr>
              <w:t>No boosters</w:t>
            </w:r>
          </w:p>
        </w:tc>
        <w:tc>
          <w:tcPr>
            <w:tcW w:w="1264" w:type="dxa"/>
            <w:tcBorders>
              <w:top w:val="single" w:sz="4" w:space="0" w:color="auto"/>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0CC109F1" w14:textId="221869A0" w:rsidR="00480236" w:rsidRPr="0024436B" w:rsidRDefault="00480236" w:rsidP="00480236">
            <w:pPr>
              <w:jc w:val="center"/>
              <w:rPr>
                <w:sz w:val="18"/>
                <w:szCs w:val="18"/>
              </w:rPr>
            </w:pPr>
            <w:r w:rsidRPr="0024436B">
              <w:rPr>
                <w:sz w:val="18"/>
                <w:szCs w:val="18"/>
              </w:rPr>
              <w:t>No boosters</w:t>
            </w:r>
          </w:p>
        </w:tc>
        <w:tc>
          <w:tcPr>
            <w:tcW w:w="1264" w:type="dxa"/>
            <w:tcBorders>
              <w:top w:val="single" w:sz="4" w:space="0" w:color="auto"/>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1D00CFB3" w14:textId="27C5ADDE" w:rsidR="00480236" w:rsidRPr="0024436B" w:rsidRDefault="00480236" w:rsidP="00480236">
            <w:pPr>
              <w:rPr>
                <w:sz w:val="18"/>
                <w:szCs w:val="18"/>
              </w:rPr>
            </w:pPr>
            <w:r w:rsidRPr="0024436B">
              <w:rPr>
                <w:sz w:val="18"/>
                <w:szCs w:val="18"/>
              </w:rPr>
              <w:t>£100 for disability claimants &amp; standard credit customers</w:t>
            </w:r>
          </w:p>
        </w:tc>
        <w:tc>
          <w:tcPr>
            <w:tcW w:w="1264" w:type="dxa"/>
            <w:gridSpan w:val="3"/>
            <w:tcBorders>
              <w:top w:val="single" w:sz="4" w:space="0" w:color="auto"/>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16D3A507" w14:textId="2A4CFA3F" w:rsidR="00480236" w:rsidRPr="0024436B" w:rsidRDefault="00480236" w:rsidP="00480236">
            <w:pPr>
              <w:jc w:val="center"/>
              <w:rPr>
                <w:sz w:val="18"/>
                <w:szCs w:val="18"/>
              </w:rPr>
            </w:pPr>
            <w:r w:rsidRPr="0024436B">
              <w:rPr>
                <w:sz w:val="18"/>
                <w:szCs w:val="18"/>
              </w:rPr>
              <w:t>£100 per adult with Equality Act disability &amp; standard credit customers</w:t>
            </w:r>
          </w:p>
        </w:tc>
      </w:tr>
      <w:tr w:rsidR="00480236" w14:paraId="443C0D27"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160910DA" w14:textId="66D3A94F" w:rsidR="00480236" w:rsidRDefault="00480236" w:rsidP="00480236">
            <w:pPr>
              <w:rPr>
                <w:sz w:val="18"/>
                <w:szCs w:val="18"/>
              </w:rPr>
            </w:pPr>
            <w:r w:rsidRPr="1A6DFC8B">
              <w:rPr>
                <w:sz w:val="18"/>
                <w:szCs w:val="18"/>
              </w:rPr>
              <w:t>Policy cost</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5F4ED"/>
            <w:tcMar>
              <w:top w:w="30" w:type="dxa"/>
              <w:left w:w="45" w:type="dxa"/>
              <w:bottom w:w="30" w:type="dxa"/>
              <w:right w:w="45" w:type="dxa"/>
            </w:tcMar>
            <w:vAlign w:val="bottom"/>
          </w:tcPr>
          <w:p w14:paraId="41457D08" w14:textId="13322DE4" w:rsidR="00480236" w:rsidRDefault="00480236" w:rsidP="00480236">
            <w:pPr>
              <w:jc w:val="center"/>
              <w:rPr>
                <w:sz w:val="18"/>
                <w:szCs w:val="18"/>
              </w:rPr>
            </w:pPr>
            <w:r w:rsidRPr="1A6DFC8B">
              <w:rPr>
                <w:sz w:val="18"/>
                <w:szCs w:val="18"/>
              </w:rPr>
              <w:t>£2.4bn</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9DCDA"/>
            <w:tcMar>
              <w:top w:w="30" w:type="dxa"/>
              <w:left w:w="45" w:type="dxa"/>
              <w:bottom w:w="30" w:type="dxa"/>
              <w:right w:w="45" w:type="dxa"/>
            </w:tcMar>
            <w:vAlign w:val="bottom"/>
          </w:tcPr>
          <w:p w14:paraId="5C1240F4" w14:textId="1AC433FB" w:rsidR="00480236" w:rsidRDefault="00480236" w:rsidP="00480236">
            <w:pPr>
              <w:jc w:val="center"/>
              <w:rPr>
                <w:sz w:val="18"/>
                <w:szCs w:val="18"/>
              </w:rPr>
            </w:pPr>
            <w:r w:rsidRPr="1A6DFC8B">
              <w:rPr>
                <w:sz w:val="18"/>
                <w:szCs w:val="18"/>
              </w:rPr>
              <w:t>£3.0bn</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119FC99" w14:textId="487931AC" w:rsidR="00480236" w:rsidRDefault="00480236" w:rsidP="00480236">
            <w:pPr>
              <w:jc w:val="center"/>
              <w:rPr>
                <w:sz w:val="18"/>
                <w:szCs w:val="18"/>
              </w:rPr>
            </w:pPr>
            <w:r w:rsidRPr="1A6DFC8B">
              <w:rPr>
                <w:sz w:val="18"/>
                <w:szCs w:val="18"/>
              </w:rPr>
              <w:t>£4.1bn</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535E3FA1" w14:textId="67BAE5BD" w:rsidR="00480236" w:rsidRDefault="00480236" w:rsidP="00480236">
            <w:pPr>
              <w:jc w:val="center"/>
              <w:rPr>
                <w:sz w:val="18"/>
                <w:szCs w:val="18"/>
              </w:rPr>
            </w:pPr>
            <w:r w:rsidRPr="1A6DFC8B">
              <w:rPr>
                <w:sz w:val="18"/>
                <w:szCs w:val="18"/>
              </w:rPr>
              <w:t>£0.8bn</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CFEBDE"/>
            <w:tcMar>
              <w:top w:w="30" w:type="dxa"/>
              <w:left w:w="45" w:type="dxa"/>
              <w:bottom w:w="30" w:type="dxa"/>
              <w:right w:w="45" w:type="dxa"/>
            </w:tcMar>
            <w:vAlign w:val="bottom"/>
          </w:tcPr>
          <w:p w14:paraId="08119FE5" w14:textId="1D4DD363" w:rsidR="00480236" w:rsidRDefault="00480236" w:rsidP="00480236">
            <w:pPr>
              <w:jc w:val="center"/>
              <w:rPr>
                <w:sz w:val="18"/>
                <w:szCs w:val="18"/>
              </w:rPr>
            </w:pPr>
            <w:r w:rsidRPr="1A6DFC8B">
              <w:rPr>
                <w:sz w:val="18"/>
                <w:szCs w:val="18"/>
              </w:rPr>
              <w:t>£2.1bn</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61689597" w14:textId="6B0ECA89" w:rsidR="00480236" w:rsidRDefault="00480236" w:rsidP="00480236">
            <w:pPr>
              <w:jc w:val="center"/>
              <w:rPr>
                <w:sz w:val="18"/>
                <w:szCs w:val="18"/>
              </w:rPr>
            </w:pPr>
            <w:r w:rsidRPr="1A6DFC8B">
              <w:rPr>
                <w:sz w:val="18"/>
                <w:szCs w:val="18"/>
              </w:rPr>
              <w:t>£2.7bn</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EDA099"/>
            <w:tcMar>
              <w:top w:w="30" w:type="dxa"/>
              <w:left w:w="45" w:type="dxa"/>
              <w:bottom w:w="30" w:type="dxa"/>
              <w:right w:w="45" w:type="dxa"/>
            </w:tcMar>
            <w:vAlign w:val="bottom"/>
          </w:tcPr>
          <w:p w14:paraId="40C89CDA" w14:textId="378B7A0A" w:rsidR="00480236" w:rsidRDefault="00480236" w:rsidP="00480236">
            <w:pPr>
              <w:jc w:val="center"/>
              <w:rPr>
                <w:sz w:val="18"/>
                <w:szCs w:val="18"/>
              </w:rPr>
            </w:pPr>
            <w:r w:rsidRPr="1A6DFC8B">
              <w:rPr>
                <w:sz w:val="18"/>
                <w:szCs w:val="18"/>
              </w:rPr>
              <w:t>£3.7bn</w:t>
            </w:r>
          </w:p>
        </w:tc>
      </w:tr>
      <w:tr w:rsidR="00480236" w14:paraId="681DAC8B"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19FBB12" w14:textId="280404E4" w:rsidR="00480236" w:rsidRDefault="00480236" w:rsidP="00480236">
            <w:pPr>
              <w:rPr>
                <w:sz w:val="18"/>
                <w:szCs w:val="18"/>
              </w:rPr>
            </w:pPr>
            <w:r w:rsidRPr="1A6DFC8B">
              <w:rPr>
                <w:sz w:val="18"/>
                <w:szCs w:val="18"/>
              </w:rPr>
              <w:t>Policy winners</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7D9D6"/>
            <w:tcMar>
              <w:top w:w="30" w:type="dxa"/>
              <w:left w:w="45" w:type="dxa"/>
              <w:bottom w:w="30" w:type="dxa"/>
              <w:right w:w="45" w:type="dxa"/>
            </w:tcMar>
            <w:vAlign w:val="bottom"/>
          </w:tcPr>
          <w:p w14:paraId="3E649581" w14:textId="4B29F95E" w:rsidR="00480236" w:rsidRDefault="00480236" w:rsidP="00480236">
            <w:pPr>
              <w:jc w:val="center"/>
              <w:rPr>
                <w:sz w:val="18"/>
                <w:szCs w:val="18"/>
              </w:rPr>
            </w:pPr>
            <w:r w:rsidRPr="1A6DFC8B">
              <w:rPr>
                <w:sz w:val="18"/>
                <w:szCs w:val="18"/>
              </w:rPr>
              <w:t>6.5m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23B4C35F" w14:textId="46D47223" w:rsidR="00480236" w:rsidRDefault="00480236" w:rsidP="00480236">
            <w:pPr>
              <w:jc w:val="center"/>
              <w:rPr>
                <w:sz w:val="18"/>
                <w:szCs w:val="18"/>
              </w:rPr>
            </w:pPr>
            <w:r w:rsidRPr="1A6DFC8B">
              <w:rPr>
                <w:sz w:val="18"/>
                <w:szCs w:val="18"/>
              </w:rPr>
              <w:t>6.9m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367914B1" w14:textId="5E53F6F7" w:rsidR="00480236" w:rsidRDefault="00480236" w:rsidP="00480236">
            <w:pPr>
              <w:jc w:val="center"/>
              <w:rPr>
                <w:sz w:val="18"/>
                <w:szCs w:val="18"/>
              </w:rPr>
            </w:pPr>
            <w:r w:rsidRPr="1A6DFC8B">
              <w:rPr>
                <w:sz w:val="18"/>
                <w:szCs w:val="18"/>
              </w:rPr>
              <w:t>8.7m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1380CB44" w14:textId="423ED10C" w:rsidR="00480236" w:rsidRDefault="00480236" w:rsidP="00480236">
            <w:pPr>
              <w:jc w:val="center"/>
              <w:rPr>
                <w:sz w:val="18"/>
                <w:szCs w:val="18"/>
              </w:rPr>
            </w:pPr>
            <w:r w:rsidRPr="1A6DFC8B">
              <w:rPr>
                <w:sz w:val="18"/>
                <w:szCs w:val="18"/>
              </w:rPr>
              <w:t>5.3m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253133B7" w14:textId="2B02BE99" w:rsidR="00480236" w:rsidRDefault="00480236" w:rsidP="00480236">
            <w:pPr>
              <w:jc w:val="center"/>
              <w:rPr>
                <w:sz w:val="18"/>
                <w:szCs w:val="18"/>
              </w:rPr>
            </w:pPr>
            <w:r w:rsidRPr="1A6DFC8B">
              <w:rPr>
                <w:sz w:val="18"/>
                <w:szCs w:val="18"/>
              </w:rPr>
              <w:t>5.3m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4FBF7"/>
            <w:tcMar>
              <w:top w:w="30" w:type="dxa"/>
              <w:left w:w="45" w:type="dxa"/>
              <w:bottom w:w="30" w:type="dxa"/>
              <w:right w:w="45" w:type="dxa"/>
            </w:tcMar>
            <w:vAlign w:val="bottom"/>
          </w:tcPr>
          <w:p w14:paraId="3400E0C8" w14:textId="2961BDF7" w:rsidR="00480236" w:rsidRDefault="00480236" w:rsidP="00480236">
            <w:pPr>
              <w:jc w:val="center"/>
              <w:rPr>
                <w:sz w:val="18"/>
                <w:szCs w:val="18"/>
              </w:rPr>
            </w:pPr>
            <w:r w:rsidRPr="1A6DFC8B">
              <w:rPr>
                <w:sz w:val="18"/>
                <w:szCs w:val="18"/>
              </w:rPr>
              <w:t>7.1m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E8F6EF"/>
            <w:tcMar>
              <w:top w:w="30" w:type="dxa"/>
              <w:left w:w="45" w:type="dxa"/>
              <w:bottom w:w="30" w:type="dxa"/>
              <w:right w:w="45" w:type="dxa"/>
            </w:tcMar>
            <w:vAlign w:val="bottom"/>
          </w:tcPr>
          <w:p w14:paraId="560918B9" w14:textId="07F58731" w:rsidR="00480236" w:rsidRDefault="00480236" w:rsidP="00480236">
            <w:pPr>
              <w:jc w:val="center"/>
              <w:rPr>
                <w:sz w:val="18"/>
                <w:szCs w:val="18"/>
              </w:rPr>
            </w:pPr>
            <w:r w:rsidRPr="1A6DFC8B">
              <w:rPr>
                <w:sz w:val="18"/>
                <w:szCs w:val="18"/>
              </w:rPr>
              <w:t>7.2m</w:t>
            </w:r>
          </w:p>
        </w:tc>
      </w:tr>
      <w:tr w:rsidR="00480236" w14:paraId="36D12331"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A8073A7" w14:textId="463BAC02" w:rsidR="00480236" w:rsidRDefault="00480236" w:rsidP="00480236">
            <w:pPr>
              <w:rPr>
                <w:sz w:val="18"/>
                <w:szCs w:val="18"/>
              </w:rPr>
            </w:pPr>
            <w:r w:rsidRPr="1A6DFC8B">
              <w:rPr>
                <w:sz w:val="18"/>
                <w:szCs w:val="18"/>
              </w:rPr>
              <w:t>Policy losers</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8DAD7"/>
            <w:tcMar>
              <w:top w:w="30" w:type="dxa"/>
              <w:left w:w="45" w:type="dxa"/>
              <w:bottom w:w="30" w:type="dxa"/>
              <w:right w:w="45" w:type="dxa"/>
            </w:tcMar>
            <w:vAlign w:val="bottom"/>
          </w:tcPr>
          <w:p w14:paraId="32877BD5" w14:textId="4DB39175" w:rsidR="00480236" w:rsidRDefault="00480236" w:rsidP="00480236">
            <w:pPr>
              <w:jc w:val="center"/>
              <w:rPr>
                <w:sz w:val="18"/>
                <w:szCs w:val="18"/>
              </w:rPr>
            </w:pPr>
            <w:r w:rsidRPr="1A6DFC8B">
              <w:rPr>
                <w:sz w:val="18"/>
                <w:szCs w:val="18"/>
              </w:rPr>
              <w:t>22.1m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7B42DB18" w14:textId="03AF7CC0" w:rsidR="00480236" w:rsidRDefault="00480236" w:rsidP="00480236">
            <w:pPr>
              <w:jc w:val="center"/>
              <w:rPr>
                <w:sz w:val="18"/>
                <w:szCs w:val="18"/>
              </w:rPr>
            </w:pPr>
            <w:r w:rsidRPr="1A6DFC8B">
              <w:rPr>
                <w:sz w:val="18"/>
                <w:szCs w:val="18"/>
              </w:rPr>
              <w:t>21.6m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2E25D774" w14:textId="20014700" w:rsidR="00480236" w:rsidRDefault="00480236" w:rsidP="00480236">
            <w:pPr>
              <w:jc w:val="center"/>
              <w:rPr>
                <w:sz w:val="18"/>
                <w:szCs w:val="18"/>
              </w:rPr>
            </w:pPr>
            <w:r w:rsidRPr="1A6DFC8B">
              <w:rPr>
                <w:sz w:val="18"/>
                <w:szCs w:val="18"/>
              </w:rPr>
              <w:t>19.8m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5AF527A" w14:textId="6389DDA6" w:rsidR="00480236" w:rsidRDefault="00480236" w:rsidP="00480236">
            <w:pPr>
              <w:jc w:val="center"/>
              <w:rPr>
                <w:sz w:val="18"/>
                <w:szCs w:val="18"/>
              </w:rPr>
            </w:pPr>
            <w:r w:rsidRPr="1A6DFC8B">
              <w:rPr>
                <w:sz w:val="18"/>
                <w:szCs w:val="18"/>
              </w:rPr>
              <w:t>23.2m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57BC1284" w14:textId="1B98F0EA" w:rsidR="00480236" w:rsidRDefault="00480236" w:rsidP="00480236">
            <w:pPr>
              <w:jc w:val="center"/>
              <w:rPr>
                <w:sz w:val="18"/>
                <w:szCs w:val="18"/>
              </w:rPr>
            </w:pPr>
            <w:r w:rsidRPr="1A6DFC8B">
              <w:rPr>
                <w:sz w:val="18"/>
                <w:szCs w:val="18"/>
              </w:rPr>
              <w:t>23.2m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3FAF6"/>
            <w:tcMar>
              <w:top w:w="30" w:type="dxa"/>
              <w:left w:w="45" w:type="dxa"/>
              <w:bottom w:w="30" w:type="dxa"/>
              <w:right w:w="45" w:type="dxa"/>
            </w:tcMar>
            <w:vAlign w:val="bottom"/>
          </w:tcPr>
          <w:p w14:paraId="3E60C17E" w14:textId="58FD0A07" w:rsidR="00480236" w:rsidRDefault="00480236" w:rsidP="00480236">
            <w:pPr>
              <w:jc w:val="center"/>
              <w:rPr>
                <w:sz w:val="18"/>
                <w:szCs w:val="18"/>
              </w:rPr>
            </w:pPr>
            <w:r w:rsidRPr="1A6DFC8B">
              <w:rPr>
                <w:sz w:val="18"/>
                <w:szCs w:val="18"/>
              </w:rPr>
              <w:t>21.5m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E7F5EE"/>
            <w:tcMar>
              <w:top w:w="30" w:type="dxa"/>
              <w:left w:w="45" w:type="dxa"/>
              <w:bottom w:w="30" w:type="dxa"/>
              <w:right w:w="45" w:type="dxa"/>
            </w:tcMar>
            <w:vAlign w:val="bottom"/>
          </w:tcPr>
          <w:p w14:paraId="0DFF9C85" w14:textId="4EEB8586" w:rsidR="00480236" w:rsidRDefault="00480236" w:rsidP="00480236">
            <w:pPr>
              <w:jc w:val="center"/>
              <w:rPr>
                <w:sz w:val="18"/>
                <w:szCs w:val="18"/>
              </w:rPr>
            </w:pPr>
            <w:r w:rsidRPr="1A6DFC8B">
              <w:rPr>
                <w:sz w:val="18"/>
                <w:szCs w:val="18"/>
              </w:rPr>
              <w:t>21.4m</w:t>
            </w:r>
          </w:p>
        </w:tc>
      </w:tr>
      <w:tr w:rsidR="00480236" w14:paraId="09740DA2"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0B451CBD" w14:textId="327639F0" w:rsidR="00480236" w:rsidRDefault="00480236" w:rsidP="00480236">
            <w:pPr>
              <w:rPr>
                <w:sz w:val="18"/>
                <w:szCs w:val="18"/>
              </w:rPr>
            </w:pPr>
            <w:r w:rsidRPr="1A6DFC8B">
              <w:rPr>
                <w:sz w:val="18"/>
                <w:szCs w:val="18"/>
              </w:rPr>
              <w:t>Average change in annual bills (winners)</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EFE"/>
            <w:tcMar>
              <w:top w:w="30" w:type="dxa"/>
              <w:left w:w="45" w:type="dxa"/>
              <w:bottom w:w="30" w:type="dxa"/>
              <w:right w:w="45" w:type="dxa"/>
            </w:tcMar>
            <w:vAlign w:val="bottom"/>
          </w:tcPr>
          <w:p w14:paraId="5C2D14E8" w14:textId="1EBFE46D" w:rsidR="00480236" w:rsidRDefault="00480236" w:rsidP="00480236">
            <w:pPr>
              <w:jc w:val="center"/>
              <w:rPr>
                <w:sz w:val="18"/>
                <w:szCs w:val="18"/>
              </w:rPr>
            </w:pPr>
            <w:r w:rsidRPr="1A6DFC8B">
              <w:rPr>
                <w:sz w:val="18"/>
                <w:szCs w:val="18"/>
              </w:rPr>
              <w:t>-£275</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78C3F416" w14:textId="1AD917AF" w:rsidR="00480236" w:rsidRDefault="00480236" w:rsidP="00480236">
            <w:pPr>
              <w:jc w:val="center"/>
              <w:rPr>
                <w:sz w:val="18"/>
                <w:szCs w:val="18"/>
              </w:rPr>
            </w:pPr>
            <w:r w:rsidRPr="1A6DFC8B">
              <w:rPr>
                <w:sz w:val="18"/>
                <w:szCs w:val="18"/>
              </w:rPr>
              <w:t>-£277</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FAE2E0"/>
            <w:tcMar>
              <w:top w:w="30" w:type="dxa"/>
              <w:left w:w="45" w:type="dxa"/>
              <w:bottom w:w="30" w:type="dxa"/>
              <w:right w:w="45" w:type="dxa"/>
            </w:tcMar>
            <w:vAlign w:val="bottom"/>
          </w:tcPr>
          <w:p w14:paraId="061E3634" w14:textId="40B60EE2" w:rsidR="00480236" w:rsidRDefault="00480236" w:rsidP="00480236">
            <w:pPr>
              <w:jc w:val="center"/>
              <w:rPr>
                <w:sz w:val="18"/>
                <w:szCs w:val="18"/>
              </w:rPr>
            </w:pPr>
            <w:r w:rsidRPr="1A6DFC8B">
              <w:rPr>
                <w:sz w:val="18"/>
                <w:szCs w:val="18"/>
              </w:rPr>
              <w:t>-£242</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6930F40" w14:textId="3FBF5865" w:rsidR="00480236" w:rsidRDefault="00480236" w:rsidP="00480236">
            <w:pPr>
              <w:jc w:val="center"/>
              <w:rPr>
                <w:sz w:val="18"/>
                <w:szCs w:val="18"/>
              </w:rPr>
            </w:pPr>
            <w:r w:rsidRPr="1A6DFC8B">
              <w:rPr>
                <w:sz w:val="18"/>
                <w:szCs w:val="18"/>
              </w:rPr>
              <w:t>-£122</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3EAFF1AE" w14:textId="48B56477" w:rsidR="00480236" w:rsidRDefault="00480236" w:rsidP="00480236">
            <w:pPr>
              <w:jc w:val="center"/>
              <w:rPr>
                <w:sz w:val="18"/>
                <w:szCs w:val="18"/>
              </w:rPr>
            </w:pPr>
            <w:r w:rsidRPr="1A6DFC8B">
              <w:rPr>
                <w:sz w:val="18"/>
                <w:szCs w:val="18"/>
              </w:rPr>
              <w:t>-£326</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CF7F1"/>
            <w:tcMar>
              <w:top w:w="30" w:type="dxa"/>
              <w:left w:w="45" w:type="dxa"/>
              <w:bottom w:w="30" w:type="dxa"/>
              <w:right w:w="45" w:type="dxa"/>
            </w:tcMar>
            <w:vAlign w:val="bottom"/>
          </w:tcPr>
          <w:p w14:paraId="63BFAA69" w14:textId="065DDD09" w:rsidR="00480236" w:rsidRDefault="00480236" w:rsidP="00480236">
            <w:pPr>
              <w:jc w:val="center"/>
              <w:rPr>
                <w:sz w:val="18"/>
                <w:szCs w:val="18"/>
              </w:rPr>
            </w:pPr>
            <w:r w:rsidRPr="1A6DFC8B">
              <w:rPr>
                <w:sz w:val="18"/>
                <w:szCs w:val="18"/>
              </w:rPr>
              <w:t>-£282</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C1E6D4"/>
            <w:tcMar>
              <w:top w:w="30" w:type="dxa"/>
              <w:left w:w="45" w:type="dxa"/>
              <w:bottom w:w="30" w:type="dxa"/>
              <w:right w:w="45" w:type="dxa"/>
            </w:tcMar>
            <w:vAlign w:val="bottom"/>
          </w:tcPr>
          <w:p w14:paraId="1D1DD4DA" w14:textId="3CFBE1A7" w:rsidR="00480236" w:rsidRDefault="00480236" w:rsidP="00480236">
            <w:pPr>
              <w:jc w:val="center"/>
              <w:rPr>
                <w:sz w:val="18"/>
                <w:szCs w:val="18"/>
              </w:rPr>
            </w:pPr>
            <w:r w:rsidRPr="1A6DFC8B">
              <w:rPr>
                <w:sz w:val="18"/>
                <w:szCs w:val="18"/>
              </w:rPr>
              <w:t>-£295</w:t>
            </w:r>
          </w:p>
        </w:tc>
      </w:tr>
      <w:tr w:rsidR="00480236" w14:paraId="21A07EA4"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1FF833DB" w14:textId="74B2220E" w:rsidR="00480236" w:rsidRDefault="00480236" w:rsidP="00480236">
            <w:pPr>
              <w:rPr>
                <w:sz w:val="18"/>
                <w:szCs w:val="18"/>
              </w:rPr>
            </w:pPr>
            <w:r w:rsidRPr="1A6DFC8B">
              <w:rPr>
                <w:sz w:val="18"/>
                <w:szCs w:val="18"/>
              </w:rPr>
              <w:t>Average change in annual bills if bill-funded (losers)</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8F5EF"/>
            <w:tcMar>
              <w:top w:w="30" w:type="dxa"/>
              <w:left w:w="45" w:type="dxa"/>
              <w:bottom w:w="30" w:type="dxa"/>
              <w:right w:w="45" w:type="dxa"/>
            </w:tcMar>
            <w:vAlign w:val="bottom"/>
          </w:tcPr>
          <w:p w14:paraId="2E3D1521" w14:textId="61663209" w:rsidR="00480236" w:rsidRDefault="00480236" w:rsidP="00480236">
            <w:pPr>
              <w:jc w:val="center"/>
              <w:rPr>
                <w:sz w:val="18"/>
                <w:szCs w:val="18"/>
              </w:rPr>
            </w:pPr>
            <w:r w:rsidRPr="1A6DFC8B">
              <w:rPr>
                <w:sz w:val="18"/>
                <w:szCs w:val="18"/>
              </w:rPr>
              <w:t>£80</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20C3A465" w14:textId="6C7A17A2" w:rsidR="00480236" w:rsidRDefault="00480236" w:rsidP="00480236">
            <w:pPr>
              <w:jc w:val="center"/>
              <w:rPr>
                <w:sz w:val="18"/>
                <w:szCs w:val="18"/>
              </w:rPr>
            </w:pPr>
            <w:r w:rsidRPr="1A6DFC8B">
              <w:rPr>
                <w:sz w:val="18"/>
                <w:szCs w:val="18"/>
              </w:rPr>
              <w:t>£89</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56CB7CDB" w14:textId="15F8CF1C" w:rsidR="00480236" w:rsidRDefault="00480236" w:rsidP="00480236">
            <w:pPr>
              <w:jc w:val="center"/>
              <w:rPr>
                <w:sz w:val="18"/>
                <w:szCs w:val="18"/>
              </w:rPr>
            </w:pPr>
            <w:r w:rsidRPr="1A6DFC8B">
              <w:rPr>
                <w:sz w:val="18"/>
                <w:szCs w:val="18"/>
              </w:rPr>
              <w:t>£107</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78693FEC" w14:textId="11A9CFB0" w:rsidR="00480236" w:rsidRDefault="00480236" w:rsidP="00480236">
            <w:pPr>
              <w:jc w:val="center"/>
              <w:rPr>
                <w:sz w:val="18"/>
                <w:szCs w:val="18"/>
              </w:rPr>
            </w:pPr>
            <w:r w:rsidRPr="1A6DFC8B">
              <w:rPr>
                <w:sz w:val="18"/>
                <w:szCs w:val="18"/>
              </w:rPr>
              <w:t>£28</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D7EEE3"/>
            <w:tcMar>
              <w:top w:w="30" w:type="dxa"/>
              <w:left w:w="45" w:type="dxa"/>
              <w:bottom w:w="30" w:type="dxa"/>
              <w:right w:w="45" w:type="dxa"/>
            </w:tcMar>
            <w:vAlign w:val="bottom"/>
          </w:tcPr>
          <w:p w14:paraId="7D910E8F" w14:textId="52E1C6A3" w:rsidR="00480236" w:rsidRDefault="00480236" w:rsidP="00480236">
            <w:pPr>
              <w:jc w:val="center"/>
              <w:rPr>
                <w:sz w:val="18"/>
                <w:szCs w:val="18"/>
              </w:rPr>
            </w:pPr>
            <w:r w:rsidRPr="1A6DFC8B">
              <w:rPr>
                <w:sz w:val="18"/>
                <w:szCs w:val="18"/>
              </w:rPr>
              <w:t>£74</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AE3E1"/>
            <w:tcMar>
              <w:top w:w="30" w:type="dxa"/>
              <w:left w:w="45" w:type="dxa"/>
              <w:bottom w:w="30" w:type="dxa"/>
              <w:right w:w="45" w:type="dxa"/>
            </w:tcMar>
            <w:vAlign w:val="bottom"/>
          </w:tcPr>
          <w:p w14:paraId="227CC33E" w14:textId="2257FEF9" w:rsidR="00480236" w:rsidRDefault="00480236" w:rsidP="00480236">
            <w:pPr>
              <w:jc w:val="center"/>
              <w:rPr>
                <w:sz w:val="18"/>
                <w:szCs w:val="18"/>
              </w:rPr>
            </w:pPr>
            <w:r w:rsidRPr="1A6DFC8B">
              <w:rPr>
                <w:sz w:val="18"/>
                <w:szCs w:val="18"/>
              </w:rPr>
              <w:t>£93</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F1B4AF"/>
            <w:tcMar>
              <w:top w:w="30" w:type="dxa"/>
              <w:left w:w="45" w:type="dxa"/>
              <w:bottom w:w="30" w:type="dxa"/>
              <w:right w:w="45" w:type="dxa"/>
            </w:tcMar>
            <w:vAlign w:val="bottom"/>
          </w:tcPr>
          <w:p w14:paraId="07B53B93" w14:textId="3451ADF3" w:rsidR="00480236" w:rsidRDefault="00480236" w:rsidP="00480236">
            <w:pPr>
              <w:jc w:val="center"/>
              <w:rPr>
                <w:sz w:val="18"/>
                <w:szCs w:val="18"/>
              </w:rPr>
            </w:pPr>
            <w:r w:rsidRPr="1A6DFC8B">
              <w:rPr>
                <w:sz w:val="18"/>
                <w:szCs w:val="18"/>
              </w:rPr>
              <w:t>£99</w:t>
            </w:r>
          </w:p>
        </w:tc>
      </w:tr>
      <w:tr w:rsidR="00480236" w14:paraId="0B3942F3"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5EA7BF61" w14:textId="16ADC380" w:rsidR="00480236" w:rsidRDefault="00480236" w:rsidP="00480236">
            <w:pPr>
              <w:rPr>
                <w:sz w:val="18"/>
                <w:szCs w:val="18"/>
              </w:rPr>
            </w:pPr>
            <w:r w:rsidRPr="1A6DFC8B">
              <w:rPr>
                <w:sz w:val="18"/>
                <w:szCs w:val="18"/>
              </w:rPr>
              <w:t>Median change in annual bills (winners)</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32700FB3" w14:textId="7B6A55B5" w:rsidR="00480236" w:rsidRDefault="00480236" w:rsidP="00480236">
            <w:pPr>
              <w:jc w:val="center"/>
              <w:rPr>
                <w:sz w:val="18"/>
                <w:szCs w:val="18"/>
              </w:rPr>
            </w:pPr>
            <w:r w:rsidRPr="1A6DFC8B">
              <w:rPr>
                <w:sz w:val="18"/>
                <w:szCs w:val="18"/>
              </w:rPr>
              <w:t>-£253</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BFB"/>
            <w:tcMar>
              <w:top w:w="30" w:type="dxa"/>
              <w:left w:w="45" w:type="dxa"/>
              <w:bottom w:w="30" w:type="dxa"/>
              <w:right w:w="45" w:type="dxa"/>
            </w:tcMar>
            <w:vAlign w:val="bottom"/>
          </w:tcPr>
          <w:p w14:paraId="3FFB36D5" w14:textId="11B22D3F" w:rsidR="00480236" w:rsidRDefault="00480236" w:rsidP="00480236">
            <w:pPr>
              <w:jc w:val="center"/>
              <w:rPr>
                <w:sz w:val="18"/>
                <w:szCs w:val="18"/>
              </w:rPr>
            </w:pPr>
            <w:r w:rsidRPr="1A6DFC8B">
              <w:rPr>
                <w:sz w:val="18"/>
                <w:szCs w:val="18"/>
              </w:rPr>
              <w:t>-£248</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F3BCB7"/>
            <w:tcMar>
              <w:top w:w="30" w:type="dxa"/>
              <w:left w:w="45" w:type="dxa"/>
              <w:bottom w:w="30" w:type="dxa"/>
              <w:right w:w="45" w:type="dxa"/>
            </w:tcMar>
            <w:vAlign w:val="bottom"/>
          </w:tcPr>
          <w:p w14:paraId="66ADA56F" w14:textId="5E7AF853" w:rsidR="00480236" w:rsidRDefault="00480236" w:rsidP="00480236">
            <w:pPr>
              <w:jc w:val="center"/>
              <w:rPr>
                <w:sz w:val="18"/>
                <w:szCs w:val="18"/>
              </w:rPr>
            </w:pPr>
            <w:r w:rsidRPr="1A6DFC8B">
              <w:rPr>
                <w:sz w:val="18"/>
                <w:szCs w:val="18"/>
              </w:rPr>
              <w:t>-£186</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6A70EAEC" w14:textId="4435CB63" w:rsidR="00480236" w:rsidRDefault="00480236" w:rsidP="00480236">
            <w:pPr>
              <w:jc w:val="center"/>
              <w:rPr>
                <w:sz w:val="18"/>
                <w:szCs w:val="18"/>
              </w:rPr>
            </w:pPr>
            <w:r w:rsidRPr="1A6DFC8B">
              <w:rPr>
                <w:sz w:val="18"/>
                <w:szCs w:val="18"/>
              </w:rPr>
              <w:t>-£122</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96D4B6"/>
            <w:tcMar>
              <w:top w:w="30" w:type="dxa"/>
              <w:left w:w="45" w:type="dxa"/>
              <w:bottom w:w="30" w:type="dxa"/>
              <w:right w:w="45" w:type="dxa"/>
            </w:tcMar>
            <w:vAlign w:val="bottom"/>
          </w:tcPr>
          <w:p w14:paraId="5F502D6F" w14:textId="55E67183" w:rsidR="00480236" w:rsidRDefault="00480236" w:rsidP="00480236">
            <w:pPr>
              <w:jc w:val="center"/>
              <w:rPr>
                <w:sz w:val="18"/>
                <w:szCs w:val="18"/>
              </w:rPr>
            </w:pPr>
            <w:r w:rsidRPr="1A6DFC8B">
              <w:rPr>
                <w:sz w:val="18"/>
                <w:szCs w:val="18"/>
              </w:rPr>
              <w:t>-£326</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B0DFC8"/>
            <w:tcMar>
              <w:top w:w="30" w:type="dxa"/>
              <w:left w:w="45" w:type="dxa"/>
              <w:bottom w:w="30" w:type="dxa"/>
              <w:right w:w="45" w:type="dxa"/>
            </w:tcMar>
            <w:vAlign w:val="bottom"/>
          </w:tcPr>
          <w:p w14:paraId="7D608ABD" w14:textId="02364D0F" w:rsidR="00480236" w:rsidRDefault="00480236" w:rsidP="00480236">
            <w:pPr>
              <w:jc w:val="center"/>
              <w:rPr>
                <w:sz w:val="18"/>
                <w:szCs w:val="18"/>
              </w:rPr>
            </w:pPr>
            <w:r w:rsidRPr="1A6DFC8B">
              <w:rPr>
                <w:sz w:val="18"/>
                <w:szCs w:val="18"/>
              </w:rPr>
              <w:t>-£307</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1B2F2B66" w14:textId="1805F0D4" w:rsidR="00480236" w:rsidRDefault="00480236" w:rsidP="00480236">
            <w:pPr>
              <w:jc w:val="center"/>
              <w:rPr>
                <w:sz w:val="18"/>
                <w:szCs w:val="18"/>
              </w:rPr>
            </w:pPr>
            <w:r w:rsidRPr="1A6DFC8B">
              <w:rPr>
                <w:sz w:val="18"/>
                <w:szCs w:val="18"/>
              </w:rPr>
              <w:t>-£370</w:t>
            </w:r>
          </w:p>
        </w:tc>
      </w:tr>
      <w:tr w:rsidR="00480236" w14:paraId="745BA524"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6E1C5B8" w14:textId="47F9F155" w:rsidR="00480236" w:rsidRDefault="00480236" w:rsidP="00480236">
            <w:pPr>
              <w:rPr>
                <w:sz w:val="18"/>
                <w:szCs w:val="18"/>
              </w:rPr>
            </w:pPr>
            <w:r w:rsidRPr="1A6DFC8B">
              <w:rPr>
                <w:sz w:val="18"/>
                <w:szCs w:val="18"/>
              </w:rPr>
              <w:t>Median change in annual bills if bill-funded (losers)</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5F4ED"/>
            <w:tcMar>
              <w:top w:w="30" w:type="dxa"/>
              <w:left w:w="45" w:type="dxa"/>
              <w:bottom w:w="30" w:type="dxa"/>
              <w:right w:w="45" w:type="dxa"/>
            </w:tcMar>
            <w:vAlign w:val="bottom"/>
          </w:tcPr>
          <w:p w14:paraId="2D797640" w14:textId="7308F2F9" w:rsidR="00480236" w:rsidRDefault="00480236" w:rsidP="00480236">
            <w:pPr>
              <w:jc w:val="center"/>
              <w:rPr>
                <w:sz w:val="18"/>
                <w:szCs w:val="18"/>
              </w:rPr>
            </w:pPr>
            <w:r w:rsidRPr="1A6DFC8B">
              <w:rPr>
                <w:sz w:val="18"/>
                <w:szCs w:val="18"/>
              </w:rPr>
              <w:t>£83</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9DCDA"/>
            <w:tcMar>
              <w:top w:w="30" w:type="dxa"/>
              <w:left w:w="45" w:type="dxa"/>
              <w:bottom w:w="30" w:type="dxa"/>
              <w:right w:w="45" w:type="dxa"/>
            </w:tcMar>
            <w:vAlign w:val="bottom"/>
          </w:tcPr>
          <w:p w14:paraId="26DE8DAB" w14:textId="6AC57E1E" w:rsidR="00480236" w:rsidRDefault="00480236" w:rsidP="00480236">
            <w:pPr>
              <w:jc w:val="center"/>
              <w:rPr>
                <w:sz w:val="18"/>
                <w:szCs w:val="18"/>
              </w:rPr>
            </w:pPr>
            <w:r w:rsidRPr="1A6DFC8B">
              <w:rPr>
                <w:sz w:val="18"/>
                <w:szCs w:val="18"/>
              </w:rPr>
              <w:t>£106</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7DEE60AC" w14:textId="668F616E" w:rsidR="00480236" w:rsidRDefault="00480236" w:rsidP="00480236">
            <w:pPr>
              <w:jc w:val="center"/>
              <w:rPr>
                <w:sz w:val="18"/>
                <w:szCs w:val="18"/>
              </w:rPr>
            </w:pPr>
            <w:r w:rsidRPr="1A6DFC8B">
              <w:rPr>
                <w:sz w:val="18"/>
                <w:szCs w:val="18"/>
              </w:rPr>
              <w:t>£144</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5F3BCDAA" w14:textId="52747A17" w:rsidR="00480236" w:rsidRDefault="00480236" w:rsidP="00480236">
            <w:pPr>
              <w:jc w:val="center"/>
              <w:rPr>
                <w:sz w:val="18"/>
                <w:szCs w:val="18"/>
              </w:rPr>
            </w:pPr>
            <w:r w:rsidRPr="1A6DFC8B">
              <w:rPr>
                <w:sz w:val="18"/>
                <w:szCs w:val="18"/>
              </w:rPr>
              <w:t>£28</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CFEBDE"/>
            <w:tcMar>
              <w:top w:w="30" w:type="dxa"/>
              <w:left w:w="45" w:type="dxa"/>
              <w:bottom w:w="30" w:type="dxa"/>
              <w:right w:w="45" w:type="dxa"/>
            </w:tcMar>
            <w:vAlign w:val="bottom"/>
          </w:tcPr>
          <w:p w14:paraId="463B3049" w14:textId="455035B5" w:rsidR="00480236" w:rsidRDefault="00480236" w:rsidP="00480236">
            <w:pPr>
              <w:jc w:val="center"/>
              <w:rPr>
                <w:sz w:val="18"/>
                <w:szCs w:val="18"/>
              </w:rPr>
            </w:pPr>
            <w:r w:rsidRPr="1A6DFC8B">
              <w:rPr>
                <w:sz w:val="18"/>
                <w:szCs w:val="18"/>
              </w:rPr>
              <w:t>£74</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1EF7A3C3" w14:textId="48E22239" w:rsidR="00480236" w:rsidRDefault="00480236" w:rsidP="00480236">
            <w:pPr>
              <w:jc w:val="center"/>
              <w:rPr>
                <w:sz w:val="18"/>
                <w:szCs w:val="18"/>
              </w:rPr>
            </w:pPr>
            <w:r w:rsidRPr="1A6DFC8B">
              <w:rPr>
                <w:sz w:val="18"/>
                <w:szCs w:val="18"/>
              </w:rPr>
              <w:t>£93</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EDA099"/>
            <w:tcMar>
              <w:top w:w="30" w:type="dxa"/>
              <w:left w:w="45" w:type="dxa"/>
              <w:bottom w:w="30" w:type="dxa"/>
              <w:right w:w="45" w:type="dxa"/>
            </w:tcMar>
            <w:vAlign w:val="bottom"/>
          </w:tcPr>
          <w:p w14:paraId="0F0208B6" w14:textId="702872D3" w:rsidR="00480236" w:rsidRDefault="00480236" w:rsidP="00480236">
            <w:pPr>
              <w:jc w:val="center"/>
              <w:rPr>
                <w:sz w:val="18"/>
                <w:szCs w:val="18"/>
              </w:rPr>
            </w:pPr>
            <w:r w:rsidRPr="1A6DFC8B">
              <w:rPr>
                <w:sz w:val="18"/>
                <w:szCs w:val="18"/>
              </w:rPr>
              <w:t>£130</w:t>
            </w:r>
          </w:p>
        </w:tc>
      </w:tr>
      <w:tr w:rsidR="00480236" w14:paraId="175D8D27"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97F0EA3" w14:textId="1D67F216" w:rsidR="00480236" w:rsidRDefault="00480236" w:rsidP="00480236">
            <w:pPr>
              <w:rPr>
                <w:sz w:val="18"/>
                <w:szCs w:val="18"/>
              </w:rPr>
            </w:pPr>
            <w:r w:rsidRPr="1A6DFC8B">
              <w:rPr>
                <w:sz w:val="18"/>
                <w:szCs w:val="18"/>
              </w:rPr>
              <w:t>Change in fuel poverty</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B1DFC9"/>
            <w:tcMar>
              <w:top w:w="30" w:type="dxa"/>
              <w:left w:w="45" w:type="dxa"/>
              <w:bottom w:w="30" w:type="dxa"/>
              <w:right w:w="45" w:type="dxa"/>
            </w:tcMar>
            <w:vAlign w:val="bottom"/>
          </w:tcPr>
          <w:p w14:paraId="2F608575" w14:textId="61508D42" w:rsidR="00480236" w:rsidRDefault="00480236" w:rsidP="00480236">
            <w:pPr>
              <w:jc w:val="center"/>
              <w:rPr>
                <w:sz w:val="18"/>
                <w:szCs w:val="18"/>
              </w:rPr>
            </w:pPr>
            <w:r w:rsidRPr="1A6DFC8B">
              <w:rPr>
                <w:sz w:val="18"/>
                <w:szCs w:val="18"/>
              </w:rPr>
              <w:t>-0.93m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8CD0AF"/>
            <w:tcMar>
              <w:top w:w="30" w:type="dxa"/>
              <w:left w:w="45" w:type="dxa"/>
              <w:bottom w:w="30" w:type="dxa"/>
              <w:right w:w="45" w:type="dxa"/>
            </w:tcMar>
            <w:vAlign w:val="bottom"/>
          </w:tcPr>
          <w:p w14:paraId="4565B736" w14:textId="610F4AE2" w:rsidR="00480236" w:rsidRDefault="00480236" w:rsidP="00480236">
            <w:pPr>
              <w:jc w:val="center"/>
              <w:rPr>
                <w:sz w:val="18"/>
                <w:szCs w:val="18"/>
              </w:rPr>
            </w:pPr>
            <w:r w:rsidRPr="1A6DFC8B">
              <w:rPr>
                <w:sz w:val="18"/>
                <w:szCs w:val="18"/>
              </w:rPr>
              <w:t>-1.01m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53740F2F" w14:textId="0EAC18DA" w:rsidR="00480236" w:rsidRDefault="00480236" w:rsidP="00480236">
            <w:pPr>
              <w:jc w:val="center"/>
              <w:rPr>
                <w:sz w:val="18"/>
                <w:szCs w:val="18"/>
              </w:rPr>
            </w:pPr>
            <w:r w:rsidRPr="1A6DFC8B">
              <w:rPr>
                <w:sz w:val="18"/>
                <w:szCs w:val="18"/>
              </w:rPr>
              <w:t>-1.13m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701EB113" w14:textId="61F177C9" w:rsidR="00480236" w:rsidRDefault="00480236" w:rsidP="00480236">
            <w:pPr>
              <w:jc w:val="center"/>
              <w:rPr>
                <w:sz w:val="18"/>
                <w:szCs w:val="18"/>
              </w:rPr>
            </w:pPr>
            <w:r w:rsidRPr="1A6DFC8B">
              <w:rPr>
                <w:sz w:val="18"/>
                <w:szCs w:val="18"/>
              </w:rPr>
              <w:t>-0.16m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5C9C5"/>
            <w:tcMar>
              <w:top w:w="30" w:type="dxa"/>
              <w:left w:w="45" w:type="dxa"/>
              <w:bottom w:w="30" w:type="dxa"/>
              <w:right w:w="45" w:type="dxa"/>
            </w:tcMar>
            <w:vAlign w:val="bottom"/>
          </w:tcPr>
          <w:p w14:paraId="45D24449" w14:textId="1D7F3E8B" w:rsidR="00480236" w:rsidRDefault="00480236" w:rsidP="00480236">
            <w:pPr>
              <w:jc w:val="center"/>
              <w:rPr>
                <w:sz w:val="18"/>
                <w:szCs w:val="18"/>
              </w:rPr>
            </w:pPr>
            <w:r w:rsidRPr="1A6DFC8B">
              <w:rPr>
                <w:sz w:val="18"/>
                <w:szCs w:val="18"/>
              </w:rPr>
              <w:t>-0.51m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8D6D3"/>
            <w:tcMar>
              <w:top w:w="30" w:type="dxa"/>
              <w:left w:w="45" w:type="dxa"/>
              <w:bottom w:w="30" w:type="dxa"/>
              <w:right w:w="45" w:type="dxa"/>
            </w:tcMar>
            <w:vAlign w:val="bottom"/>
          </w:tcPr>
          <w:p w14:paraId="0F1CFA7F" w14:textId="22C96BF7" w:rsidR="00480236" w:rsidRDefault="00480236" w:rsidP="00480236">
            <w:pPr>
              <w:jc w:val="center"/>
              <w:rPr>
                <w:sz w:val="18"/>
                <w:szCs w:val="18"/>
              </w:rPr>
            </w:pPr>
            <w:r w:rsidRPr="1A6DFC8B">
              <w:rPr>
                <w:sz w:val="18"/>
                <w:szCs w:val="18"/>
              </w:rPr>
              <w:t>-0.57m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2FE49585" w14:textId="01EE971C" w:rsidR="00480236" w:rsidRDefault="00480236" w:rsidP="00480236">
            <w:pPr>
              <w:jc w:val="center"/>
              <w:rPr>
                <w:sz w:val="18"/>
                <w:szCs w:val="18"/>
              </w:rPr>
            </w:pPr>
            <w:r w:rsidRPr="1A6DFC8B">
              <w:rPr>
                <w:sz w:val="18"/>
                <w:szCs w:val="18"/>
              </w:rPr>
              <w:t>-0.75m</w:t>
            </w:r>
          </w:p>
        </w:tc>
      </w:tr>
      <w:tr w:rsidR="00480236" w14:paraId="012DCDFC"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2CFBC51B" w14:textId="78979269" w:rsidR="00480236" w:rsidRDefault="00480236" w:rsidP="00480236">
            <w:pPr>
              <w:rPr>
                <w:sz w:val="18"/>
                <w:szCs w:val="18"/>
              </w:rPr>
            </w:pPr>
            <w:r w:rsidRPr="1A6DFC8B">
              <w:rPr>
                <w:sz w:val="18"/>
                <w:szCs w:val="18"/>
              </w:rPr>
              <w:t>Change in fuel poverty for disabled households</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2AB7D642" w14:textId="333905A6" w:rsidR="00480236" w:rsidRDefault="00480236" w:rsidP="00480236">
            <w:pPr>
              <w:jc w:val="center"/>
              <w:rPr>
                <w:sz w:val="18"/>
                <w:szCs w:val="18"/>
              </w:rPr>
            </w:pPr>
            <w:r w:rsidRPr="1A6DFC8B">
              <w:rPr>
                <w:sz w:val="18"/>
                <w:szCs w:val="18"/>
              </w:rPr>
              <w:t>-0.54m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CCEADC"/>
            <w:tcMar>
              <w:top w:w="30" w:type="dxa"/>
              <w:left w:w="45" w:type="dxa"/>
              <w:bottom w:w="30" w:type="dxa"/>
              <w:right w:w="45" w:type="dxa"/>
            </w:tcMar>
            <w:vAlign w:val="bottom"/>
          </w:tcPr>
          <w:p w14:paraId="5EA236B4" w14:textId="40551132" w:rsidR="00480236" w:rsidRDefault="00480236" w:rsidP="00480236">
            <w:pPr>
              <w:jc w:val="center"/>
              <w:rPr>
                <w:sz w:val="18"/>
                <w:szCs w:val="18"/>
              </w:rPr>
            </w:pPr>
            <w:r w:rsidRPr="1A6DFC8B">
              <w:rPr>
                <w:sz w:val="18"/>
                <w:szCs w:val="18"/>
              </w:rPr>
              <w:t>-0.60m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792C64E3" w14:textId="79EC62D8" w:rsidR="00480236" w:rsidRDefault="00480236" w:rsidP="00480236">
            <w:pPr>
              <w:jc w:val="center"/>
              <w:rPr>
                <w:sz w:val="18"/>
                <w:szCs w:val="18"/>
              </w:rPr>
            </w:pPr>
            <w:r w:rsidRPr="1A6DFC8B">
              <w:rPr>
                <w:sz w:val="18"/>
                <w:szCs w:val="18"/>
              </w:rPr>
              <w:t>-0.72m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4A411143" w14:textId="7892825E" w:rsidR="00480236" w:rsidRDefault="00480236" w:rsidP="00480236">
            <w:pPr>
              <w:jc w:val="center"/>
              <w:rPr>
                <w:sz w:val="18"/>
                <w:szCs w:val="18"/>
              </w:rPr>
            </w:pPr>
            <w:r w:rsidRPr="1A6DFC8B">
              <w:rPr>
                <w:sz w:val="18"/>
                <w:szCs w:val="18"/>
              </w:rPr>
              <w:t>-0.11m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2B8B3"/>
            <w:tcMar>
              <w:top w:w="30" w:type="dxa"/>
              <w:left w:w="45" w:type="dxa"/>
              <w:bottom w:w="30" w:type="dxa"/>
              <w:right w:w="45" w:type="dxa"/>
            </w:tcMar>
            <w:vAlign w:val="bottom"/>
          </w:tcPr>
          <w:p w14:paraId="6B232F94" w14:textId="5247C5B7" w:rsidR="00480236" w:rsidRDefault="00480236" w:rsidP="00480236">
            <w:pPr>
              <w:jc w:val="center"/>
              <w:rPr>
                <w:sz w:val="18"/>
                <w:szCs w:val="18"/>
              </w:rPr>
            </w:pPr>
            <w:r w:rsidRPr="1A6DFC8B">
              <w:rPr>
                <w:sz w:val="18"/>
                <w:szCs w:val="18"/>
              </w:rPr>
              <w:t>-0.31m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5C7C3"/>
            <w:tcMar>
              <w:top w:w="30" w:type="dxa"/>
              <w:left w:w="45" w:type="dxa"/>
              <w:bottom w:w="30" w:type="dxa"/>
              <w:right w:w="45" w:type="dxa"/>
            </w:tcMar>
            <w:vAlign w:val="bottom"/>
          </w:tcPr>
          <w:p w14:paraId="3C46E4F2" w14:textId="2B4E2A40" w:rsidR="00480236" w:rsidRDefault="00480236" w:rsidP="00480236">
            <w:pPr>
              <w:jc w:val="center"/>
              <w:rPr>
                <w:sz w:val="18"/>
                <w:szCs w:val="18"/>
              </w:rPr>
            </w:pPr>
            <w:r w:rsidRPr="1A6DFC8B">
              <w:rPr>
                <w:sz w:val="18"/>
                <w:szCs w:val="18"/>
              </w:rPr>
              <w:t>-0.36m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F9FCFB"/>
            <w:tcMar>
              <w:top w:w="30" w:type="dxa"/>
              <w:left w:w="45" w:type="dxa"/>
              <w:bottom w:w="30" w:type="dxa"/>
              <w:right w:w="45" w:type="dxa"/>
            </w:tcMar>
            <w:vAlign w:val="bottom"/>
          </w:tcPr>
          <w:p w14:paraId="0F90655D" w14:textId="70502D27" w:rsidR="00480236" w:rsidRDefault="00480236" w:rsidP="00480236">
            <w:pPr>
              <w:jc w:val="center"/>
              <w:rPr>
                <w:sz w:val="18"/>
                <w:szCs w:val="18"/>
              </w:rPr>
            </w:pPr>
            <w:r w:rsidRPr="1A6DFC8B">
              <w:rPr>
                <w:sz w:val="18"/>
                <w:szCs w:val="18"/>
              </w:rPr>
              <w:t>-0.55m</w:t>
            </w:r>
          </w:p>
        </w:tc>
      </w:tr>
      <w:tr w:rsidR="00480236" w14:paraId="554D4B71"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2551B859" w14:textId="20960516" w:rsidR="00480236" w:rsidRDefault="00480236" w:rsidP="00480236">
            <w:pPr>
              <w:rPr>
                <w:sz w:val="18"/>
                <w:szCs w:val="18"/>
              </w:rPr>
            </w:pPr>
            <w:r w:rsidRPr="1A6DFC8B">
              <w:rPr>
                <w:sz w:val="18"/>
                <w:szCs w:val="18"/>
              </w:rPr>
              <w:t>Change in fuel poverty for older households (65+)</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CDEADC"/>
            <w:tcMar>
              <w:top w:w="30" w:type="dxa"/>
              <w:left w:w="45" w:type="dxa"/>
              <w:bottom w:w="30" w:type="dxa"/>
              <w:right w:w="45" w:type="dxa"/>
            </w:tcMar>
            <w:vAlign w:val="bottom"/>
          </w:tcPr>
          <w:p w14:paraId="15C682D7" w14:textId="3A927F8D" w:rsidR="00480236" w:rsidRDefault="00480236" w:rsidP="00480236">
            <w:pPr>
              <w:jc w:val="center"/>
              <w:rPr>
                <w:sz w:val="18"/>
                <w:szCs w:val="18"/>
              </w:rPr>
            </w:pPr>
            <w:r w:rsidRPr="1A6DFC8B">
              <w:rPr>
                <w:sz w:val="18"/>
                <w:szCs w:val="18"/>
              </w:rPr>
              <w:t>-0.26m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91D2B2"/>
            <w:tcMar>
              <w:top w:w="30" w:type="dxa"/>
              <w:left w:w="45" w:type="dxa"/>
              <w:bottom w:w="30" w:type="dxa"/>
              <w:right w:w="45" w:type="dxa"/>
            </w:tcMar>
            <w:vAlign w:val="bottom"/>
          </w:tcPr>
          <w:p w14:paraId="0C32C220" w14:textId="5A656A01" w:rsidR="00480236" w:rsidRDefault="00480236" w:rsidP="00480236">
            <w:pPr>
              <w:jc w:val="center"/>
              <w:rPr>
                <w:sz w:val="18"/>
                <w:szCs w:val="18"/>
              </w:rPr>
            </w:pPr>
            <w:r w:rsidRPr="1A6DFC8B">
              <w:rPr>
                <w:sz w:val="18"/>
                <w:szCs w:val="18"/>
              </w:rPr>
              <w:t>-0.31m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232C6456" w14:textId="58DE33B7" w:rsidR="00480236" w:rsidRDefault="00480236" w:rsidP="00480236">
            <w:pPr>
              <w:jc w:val="center"/>
              <w:rPr>
                <w:sz w:val="18"/>
                <w:szCs w:val="18"/>
              </w:rPr>
            </w:pPr>
            <w:r w:rsidRPr="1A6DFC8B">
              <w:rPr>
                <w:sz w:val="18"/>
                <w:szCs w:val="18"/>
              </w:rPr>
              <w:t>-0.36m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641E72EC" w14:textId="07242583" w:rsidR="00480236" w:rsidRDefault="00480236" w:rsidP="00480236">
            <w:pPr>
              <w:jc w:val="center"/>
              <w:rPr>
                <w:sz w:val="18"/>
                <w:szCs w:val="18"/>
              </w:rPr>
            </w:pPr>
            <w:r w:rsidRPr="1A6DFC8B">
              <w:rPr>
                <w:sz w:val="18"/>
                <w:szCs w:val="18"/>
              </w:rPr>
              <w:t>-0.03m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3BBB7"/>
            <w:tcMar>
              <w:top w:w="30" w:type="dxa"/>
              <w:left w:w="45" w:type="dxa"/>
              <w:bottom w:w="30" w:type="dxa"/>
              <w:right w:w="45" w:type="dxa"/>
            </w:tcMar>
            <w:vAlign w:val="bottom"/>
          </w:tcPr>
          <w:p w14:paraId="61132874" w14:textId="27EA4749" w:rsidR="00480236" w:rsidRDefault="00480236" w:rsidP="00480236">
            <w:pPr>
              <w:jc w:val="center"/>
              <w:rPr>
                <w:sz w:val="18"/>
                <w:szCs w:val="18"/>
              </w:rPr>
            </w:pPr>
            <w:r w:rsidRPr="1A6DFC8B">
              <w:rPr>
                <w:sz w:val="18"/>
                <w:szCs w:val="18"/>
              </w:rPr>
              <w:t>-0.12m</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6CECA"/>
            <w:tcMar>
              <w:top w:w="30" w:type="dxa"/>
              <w:left w:w="45" w:type="dxa"/>
              <w:bottom w:w="30" w:type="dxa"/>
              <w:right w:w="45" w:type="dxa"/>
            </w:tcMar>
            <w:vAlign w:val="bottom"/>
          </w:tcPr>
          <w:p w14:paraId="197AB1AF" w14:textId="181554E5" w:rsidR="00480236" w:rsidRDefault="00480236" w:rsidP="00480236">
            <w:pPr>
              <w:jc w:val="center"/>
              <w:rPr>
                <w:sz w:val="18"/>
                <w:szCs w:val="18"/>
              </w:rPr>
            </w:pPr>
            <w:r w:rsidRPr="1A6DFC8B">
              <w:rPr>
                <w:sz w:val="18"/>
                <w:szCs w:val="18"/>
              </w:rPr>
              <w:t>-0.15m</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304B191E" w14:textId="5DB5FBA9" w:rsidR="00480236" w:rsidRDefault="00480236" w:rsidP="00480236">
            <w:pPr>
              <w:jc w:val="center"/>
              <w:rPr>
                <w:sz w:val="18"/>
                <w:szCs w:val="18"/>
              </w:rPr>
            </w:pPr>
            <w:r w:rsidRPr="1A6DFC8B">
              <w:rPr>
                <w:sz w:val="18"/>
                <w:szCs w:val="18"/>
              </w:rPr>
              <w:t>-0.22m</w:t>
            </w:r>
          </w:p>
        </w:tc>
      </w:tr>
      <w:tr w:rsidR="00480236" w14:paraId="52D811BC" w14:textId="77777777" w:rsidTr="1A6DFC8B">
        <w:trPr>
          <w:trHeight w:val="315"/>
        </w:trPr>
        <w:tc>
          <w:tcPr>
            <w:tcW w:w="1264"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2518BACE" w14:textId="60BEEAAD" w:rsidR="00480236" w:rsidRDefault="00480236" w:rsidP="00480236">
            <w:pPr>
              <w:rPr>
                <w:sz w:val="18"/>
                <w:szCs w:val="18"/>
              </w:rPr>
            </w:pPr>
            <w:r w:rsidRPr="1A6DFC8B">
              <w:rPr>
                <w:sz w:val="18"/>
                <w:szCs w:val="18"/>
              </w:rPr>
              <w:t>Value for money i.e. Cost per household brought out of fuel poverty</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3B5FE101" w14:textId="42C41AC9" w:rsidR="00480236" w:rsidRDefault="00480236" w:rsidP="00480236">
            <w:pPr>
              <w:jc w:val="center"/>
              <w:rPr>
                <w:sz w:val="18"/>
                <w:szCs w:val="18"/>
              </w:rPr>
            </w:pPr>
            <w:r w:rsidRPr="1A6DFC8B">
              <w:rPr>
                <w:sz w:val="18"/>
                <w:szCs w:val="18"/>
              </w:rPr>
              <w:t>£2,559</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85CDAA"/>
            <w:tcMar>
              <w:top w:w="30" w:type="dxa"/>
              <w:left w:w="45" w:type="dxa"/>
              <w:bottom w:w="30" w:type="dxa"/>
              <w:right w:w="45" w:type="dxa"/>
            </w:tcMar>
            <w:vAlign w:val="bottom"/>
          </w:tcPr>
          <w:p w14:paraId="037E01F7" w14:textId="100404A0" w:rsidR="00480236" w:rsidRDefault="00480236" w:rsidP="00480236">
            <w:pPr>
              <w:jc w:val="center"/>
              <w:rPr>
                <w:sz w:val="18"/>
                <w:szCs w:val="18"/>
              </w:rPr>
            </w:pPr>
            <w:r w:rsidRPr="1A6DFC8B">
              <w:rPr>
                <w:sz w:val="18"/>
                <w:szCs w:val="18"/>
              </w:rPr>
              <w:t>£3,009</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C6E8D7"/>
            <w:tcMar>
              <w:top w:w="30" w:type="dxa"/>
              <w:left w:w="45" w:type="dxa"/>
              <w:bottom w:w="30" w:type="dxa"/>
              <w:right w:w="45" w:type="dxa"/>
            </w:tcMar>
            <w:vAlign w:val="bottom"/>
          </w:tcPr>
          <w:p w14:paraId="272EF026" w14:textId="0AA03AC4" w:rsidR="00480236" w:rsidRDefault="00480236" w:rsidP="00480236">
            <w:pPr>
              <w:jc w:val="center"/>
              <w:rPr>
                <w:sz w:val="18"/>
                <w:szCs w:val="18"/>
              </w:rPr>
            </w:pPr>
            <w:r w:rsidRPr="1A6DFC8B">
              <w:rPr>
                <w:sz w:val="18"/>
                <w:szCs w:val="18"/>
              </w:rPr>
              <w:t>£3,637</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E98A81"/>
            <w:tcMar>
              <w:top w:w="30" w:type="dxa"/>
              <w:left w:w="45" w:type="dxa"/>
              <w:bottom w:w="30" w:type="dxa"/>
              <w:right w:w="45" w:type="dxa"/>
            </w:tcMar>
            <w:vAlign w:val="bottom"/>
          </w:tcPr>
          <w:p w14:paraId="07946BE4" w14:textId="3476DDB3" w:rsidR="00480236" w:rsidRDefault="00480236" w:rsidP="00480236">
            <w:pPr>
              <w:jc w:val="center"/>
              <w:rPr>
                <w:sz w:val="18"/>
                <w:szCs w:val="18"/>
              </w:rPr>
            </w:pPr>
            <w:r w:rsidRPr="1A6DFC8B">
              <w:rPr>
                <w:sz w:val="18"/>
                <w:szCs w:val="18"/>
              </w:rPr>
              <w:t>£4,864</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C0544CB" w14:textId="06EB0891" w:rsidR="00480236" w:rsidRDefault="00480236" w:rsidP="00480236">
            <w:pPr>
              <w:jc w:val="center"/>
              <w:rPr>
                <w:sz w:val="18"/>
                <w:szCs w:val="18"/>
              </w:rPr>
            </w:pPr>
            <w:r w:rsidRPr="1A6DFC8B">
              <w:rPr>
                <w:sz w:val="18"/>
                <w:szCs w:val="18"/>
              </w:rPr>
              <w:t>£4,182</w:t>
            </w:r>
          </w:p>
        </w:tc>
        <w:tc>
          <w:tcPr>
            <w:tcW w:w="1264" w:type="dxa"/>
            <w:tcBorders>
              <w:top w:val="single" w:sz="6" w:space="0" w:color="CCCCCC"/>
              <w:left w:val="single" w:sz="6" w:space="0" w:color="CCCCCC"/>
              <w:bottom w:val="single" w:sz="6" w:space="0" w:color="000000" w:themeColor="text1"/>
              <w:right w:val="single" w:sz="6" w:space="0" w:color="000000" w:themeColor="text1"/>
            </w:tcBorders>
            <w:shd w:val="clear" w:color="auto" w:fill="F0ACA6"/>
            <w:tcMar>
              <w:top w:w="30" w:type="dxa"/>
              <w:left w:w="45" w:type="dxa"/>
              <w:bottom w:w="30" w:type="dxa"/>
              <w:right w:w="45" w:type="dxa"/>
            </w:tcMar>
            <w:vAlign w:val="bottom"/>
          </w:tcPr>
          <w:p w14:paraId="15B13D90" w14:textId="6E0DB632" w:rsidR="00480236" w:rsidRDefault="00480236" w:rsidP="00480236">
            <w:pPr>
              <w:jc w:val="center"/>
              <w:rPr>
                <w:sz w:val="18"/>
                <w:szCs w:val="18"/>
              </w:rPr>
            </w:pPr>
            <w:r w:rsidRPr="1A6DFC8B">
              <w:rPr>
                <w:sz w:val="18"/>
                <w:szCs w:val="18"/>
              </w:rPr>
              <w:t>£4,664</w:t>
            </w:r>
          </w:p>
        </w:tc>
        <w:tc>
          <w:tcPr>
            <w:tcW w:w="1264" w:type="dxa"/>
            <w:gridSpan w:val="3"/>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1DB90C80" w14:textId="45084F20" w:rsidR="00480236" w:rsidRDefault="00480236" w:rsidP="00480236">
            <w:pPr>
              <w:jc w:val="center"/>
              <w:rPr>
                <w:sz w:val="18"/>
                <w:szCs w:val="18"/>
              </w:rPr>
            </w:pPr>
            <w:r w:rsidRPr="1A6DFC8B">
              <w:rPr>
                <w:sz w:val="18"/>
                <w:szCs w:val="18"/>
              </w:rPr>
              <w:t>£4,939</w:t>
            </w:r>
          </w:p>
        </w:tc>
      </w:tr>
    </w:tbl>
    <w:p w14:paraId="1E05AD44" w14:textId="75CC0507" w:rsidR="001A5E58" w:rsidRPr="00344BBB" w:rsidRDefault="367B7873" w:rsidP="3C85173F">
      <w:pPr>
        <w:spacing w:before="200" w:after="120" w:line="348" w:lineRule="auto"/>
        <w:rPr>
          <w:sz w:val="24"/>
          <w:szCs w:val="24"/>
        </w:rPr>
      </w:pPr>
      <w:r w:rsidRPr="00344BBB">
        <w:rPr>
          <w:sz w:val="24"/>
          <w:szCs w:val="24"/>
        </w:rPr>
        <w:t>Source: Public First analysis of Living Cost and Food Survey (2022/23) uprated for 2025</w:t>
      </w:r>
    </w:p>
    <w:p w14:paraId="5AD4CBFA" w14:textId="54CAF369" w:rsidR="001A5E58" w:rsidRPr="00344BBB" w:rsidRDefault="3DE4D3F4" w:rsidP="1A6DFC8B">
      <w:pPr>
        <w:rPr>
          <w:sz w:val="24"/>
          <w:szCs w:val="24"/>
        </w:rPr>
      </w:pPr>
      <w:r w:rsidRPr="00344BBB">
        <w:rPr>
          <w:sz w:val="24"/>
          <w:szCs w:val="24"/>
        </w:rPr>
        <w:t xml:space="preserve">Notes: Due to time and self-reporting limitations in the Living Cost and Food Survey, the model does not reflect the exact uptake of the new WHD eligibility, which the government indicates now would benefit 6.1m policy winner households, compared to the modelled 5.3m by Public </w:t>
      </w:r>
      <w:r w:rsidRPr="00344BBB">
        <w:rPr>
          <w:sz w:val="24"/>
          <w:szCs w:val="24"/>
        </w:rPr>
        <w:lastRenderedPageBreak/>
        <w:t xml:space="preserve">First. </w:t>
      </w:r>
      <w:r w:rsidR="029EC028" w:rsidRPr="00344BBB">
        <w:rPr>
          <w:sz w:val="24"/>
          <w:szCs w:val="24"/>
        </w:rPr>
        <w:t>The</w:t>
      </w:r>
      <w:r w:rsidRPr="00344BBB">
        <w:rPr>
          <w:sz w:val="24"/>
          <w:szCs w:val="24"/>
        </w:rPr>
        <w:t xml:space="preserve"> analysis provides an order of magnitude of the policy impact as well as a guide for the relative ranking of different policy models.</w:t>
      </w:r>
    </w:p>
    <w:p w14:paraId="30A215D8" w14:textId="77777777" w:rsidR="001A5E58" w:rsidRPr="00344BBB" w:rsidRDefault="71E812B3" w:rsidP="3C85173F">
      <w:pPr>
        <w:rPr>
          <w:sz w:val="24"/>
          <w:szCs w:val="24"/>
        </w:rPr>
      </w:pPr>
      <w:r w:rsidRPr="00344BBB">
        <w:rPr>
          <w:sz w:val="24"/>
          <w:szCs w:val="24"/>
        </w:rPr>
        <w:t xml:space="preserve">Using the WHD as a baseline, the model assumes support is funded by billpayers, thus reducing the net change in annual bills for policy winners by the average cost of the policy. The total policy cost also reflects the cost to the government if it were tax-funded. </w:t>
      </w:r>
    </w:p>
    <w:p w14:paraId="552CBD5C" w14:textId="77777777" w:rsidR="001A5E58" w:rsidRDefault="001A5E58">
      <w:pPr>
        <w:rPr>
          <w:i/>
          <w:sz w:val="24"/>
          <w:szCs w:val="24"/>
        </w:rPr>
      </w:pPr>
    </w:p>
    <w:p w14:paraId="30694D9C" w14:textId="77777777" w:rsidR="001A5E58" w:rsidRPr="00A4313C" w:rsidRDefault="5A4A5C02" w:rsidP="1A6DFC8B">
      <w:pPr>
        <w:pStyle w:val="Heading3"/>
        <w:rPr>
          <w:color w:val="3275C8"/>
          <w:sz w:val="32"/>
          <w:szCs w:val="32"/>
        </w:rPr>
      </w:pPr>
      <w:bookmarkStart w:id="21" w:name="_if6ghn8175gh"/>
      <w:bookmarkEnd w:id="21"/>
      <w:r w:rsidRPr="00A4313C">
        <w:rPr>
          <w:color w:val="3275C8"/>
          <w:sz w:val="32"/>
          <w:szCs w:val="32"/>
        </w:rPr>
        <w:t xml:space="preserve">Eligibility </w:t>
      </w:r>
    </w:p>
    <w:p w14:paraId="52D335AF" w14:textId="77777777" w:rsidR="001A5E58" w:rsidRDefault="00F84F72">
      <w:pPr>
        <w:rPr>
          <w:sz w:val="28"/>
          <w:szCs w:val="28"/>
        </w:rPr>
      </w:pPr>
      <w:r>
        <w:rPr>
          <w:sz w:val="28"/>
          <w:szCs w:val="28"/>
        </w:rPr>
        <w:t xml:space="preserve">A key design principle of a new targeted bill support policy is its eligibility, and the need to provide much broader support than what is currently provided through the welfare system. Chapter One of this report highlighted key characteristics of energy affordability and fuel poverty including low income, disability and health conditions, age, payment method and energy efficiency. However, existing mechanisms of support miss more fuel poor households than they help. Recent amendments to both the Warm Home Discount and Winter Fuel Payment eligibility highlight the limitations of our welfare system in finding and defining who needs support. </w:t>
      </w:r>
    </w:p>
    <w:p w14:paraId="0BBF5684" w14:textId="1C38313B" w:rsidR="001A5E58" w:rsidRDefault="497E5335">
      <w:pPr>
        <w:rPr>
          <w:sz w:val="28"/>
          <w:szCs w:val="28"/>
        </w:rPr>
      </w:pPr>
      <w:r w:rsidRPr="1A6DFC8B">
        <w:rPr>
          <w:sz w:val="28"/>
          <w:szCs w:val="28"/>
        </w:rPr>
        <w:t xml:space="preserve">As illustrated in Chapter One (Figure </w:t>
      </w:r>
      <w:r w:rsidR="37615B44" w:rsidRPr="1A6DFC8B">
        <w:rPr>
          <w:sz w:val="28"/>
          <w:szCs w:val="28"/>
        </w:rPr>
        <w:t>3</w:t>
      </w:r>
      <w:r w:rsidRPr="1A6DFC8B">
        <w:rPr>
          <w:sz w:val="28"/>
          <w:szCs w:val="28"/>
        </w:rPr>
        <w:t xml:space="preserve"> and Figure 6), low income remains the strongest predictor of energy affordability challenges and fuel poverty, making it a fundamental criterion for better-targeted support. Disability and health also play a crucial role, as many households affected by these factors may not fall into low-income categories but have significantly higher energy needs that strain their budgets. While not all households with high energy needs are captured under these core pillars, many older households or those living in inefficient homes still stand to benefit from existing dedicated schemes such as the Winter Fuel Payment as well as government and industry energy efficiency programmes. </w:t>
      </w:r>
    </w:p>
    <w:p w14:paraId="4666B48F" w14:textId="65B24FB4" w:rsidR="001A5E58" w:rsidRDefault="5B43EAB0">
      <w:pPr>
        <w:rPr>
          <w:sz w:val="28"/>
          <w:szCs w:val="28"/>
        </w:rPr>
      </w:pPr>
      <w:r w:rsidRPr="1A6DFC8B">
        <w:rPr>
          <w:sz w:val="28"/>
          <w:szCs w:val="28"/>
        </w:rPr>
        <w:t xml:space="preserve">Given the challenges posed by overly complex eligibility systems, the government’s limited progress on improving targeting, and the urgent need to deliver support to vulnerable </w:t>
      </w:r>
      <w:r w:rsidR="2225944E" w:rsidRPr="1A6DFC8B">
        <w:rPr>
          <w:sz w:val="28"/>
          <w:szCs w:val="28"/>
        </w:rPr>
        <w:t>customers</w:t>
      </w:r>
      <w:r w:rsidRPr="1A6DFC8B">
        <w:rPr>
          <w:sz w:val="28"/>
          <w:szCs w:val="28"/>
        </w:rPr>
        <w:t>, this report recommends focusing bill support around two core pillars: income and disability. Eligibility should extend beyond the traditional welfare system to include:</w:t>
      </w:r>
    </w:p>
    <w:p w14:paraId="6D29AB09" w14:textId="77777777" w:rsidR="001A5E58" w:rsidRDefault="71E812B3">
      <w:pPr>
        <w:numPr>
          <w:ilvl w:val="0"/>
          <w:numId w:val="23"/>
        </w:numPr>
        <w:spacing w:after="0"/>
        <w:rPr>
          <w:sz w:val="28"/>
          <w:szCs w:val="28"/>
        </w:rPr>
      </w:pPr>
      <w:r>
        <w:rPr>
          <w:sz w:val="28"/>
          <w:szCs w:val="28"/>
        </w:rPr>
        <w:t>Households with an equivalised household income of £30,000 or less</w:t>
      </w:r>
      <w:r w:rsidR="00F84F72">
        <w:rPr>
          <w:sz w:val="28"/>
          <w:szCs w:val="28"/>
          <w:vertAlign w:val="superscript"/>
        </w:rPr>
        <w:footnoteReference w:id="26"/>
      </w:r>
    </w:p>
    <w:p w14:paraId="72937758" w14:textId="4B53E9A3" w:rsidR="001A5E58" w:rsidRDefault="71E812B3">
      <w:pPr>
        <w:numPr>
          <w:ilvl w:val="0"/>
          <w:numId w:val="23"/>
        </w:numPr>
        <w:spacing w:after="0"/>
        <w:rPr>
          <w:sz w:val="28"/>
          <w:szCs w:val="28"/>
        </w:rPr>
      </w:pPr>
      <w:r>
        <w:rPr>
          <w:sz w:val="28"/>
          <w:szCs w:val="28"/>
        </w:rPr>
        <w:t>Households with at least one member claiming existing disability benefits</w:t>
      </w:r>
      <w:r w:rsidR="00F84F72">
        <w:rPr>
          <w:sz w:val="28"/>
          <w:szCs w:val="28"/>
          <w:vertAlign w:val="superscript"/>
        </w:rPr>
        <w:footnoteReference w:id="27"/>
      </w:r>
    </w:p>
    <w:p w14:paraId="1E566D92" w14:textId="77777777" w:rsidR="001A5E58" w:rsidRDefault="00F84F72">
      <w:pPr>
        <w:numPr>
          <w:ilvl w:val="0"/>
          <w:numId w:val="23"/>
        </w:numPr>
        <w:rPr>
          <w:sz w:val="28"/>
          <w:szCs w:val="28"/>
        </w:rPr>
      </w:pPr>
      <w:r>
        <w:rPr>
          <w:sz w:val="28"/>
          <w:szCs w:val="28"/>
        </w:rPr>
        <w:lastRenderedPageBreak/>
        <w:t>Households outside the disability benefits system with high energy needs, as identified through the Priority Service Register and social prescribing programs.</w:t>
      </w:r>
    </w:p>
    <w:p w14:paraId="74B64497" w14:textId="662B5250" w:rsidR="001A5E58" w:rsidRDefault="497E5335">
      <w:pPr>
        <w:rPr>
          <w:sz w:val="28"/>
          <w:szCs w:val="28"/>
        </w:rPr>
      </w:pPr>
      <w:r w:rsidRPr="1A6DFC8B">
        <w:rPr>
          <w:sz w:val="28"/>
          <w:szCs w:val="28"/>
        </w:rPr>
        <w:t xml:space="preserve">Public First analysis suggests that over </w:t>
      </w:r>
      <w:r w:rsidR="17E9A19A" w:rsidRPr="1A6DFC8B">
        <w:rPr>
          <w:sz w:val="28"/>
          <w:szCs w:val="28"/>
        </w:rPr>
        <w:t xml:space="preserve">1.4 million </w:t>
      </w:r>
      <w:r w:rsidRPr="1A6DFC8B">
        <w:rPr>
          <w:sz w:val="28"/>
          <w:szCs w:val="28"/>
        </w:rPr>
        <w:t>fuel-poor households include a member who has a disability under the Equality Act 2010 but is not in receipt of relevant disability benefits. It is critical that a new scheme can support these households who may also face affordability challenges due to their high energy needs. Expanding the eligibility to include disabled households outside of the welfare system would further increase the scheme’s reach to support households with high energy needs and in some cases, on higher incomes. Clear criteria would be required to identify these households either through the Priority Service Register (PSR) or through the healthcare system, explored in the next chapter. Due to data limitations on the PSR’s makeup, it is unclear just how many households could be included and identified in this group. Using the Equality Act 2010 definition as a proxy for the possible size of this group, Public First analysis of the Living Cost and Food Survey suggests that targeting disabled households beyond the income threshold and relevant benefits could increase the number of policy winners by 1.8 million to a possible total of 8.7 million.</w:t>
      </w:r>
    </w:p>
    <w:p w14:paraId="0F724ACC" w14:textId="77777777" w:rsidR="001A5E58" w:rsidRDefault="001A5E58">
      <w:pPr>
        <w:rPr>
          <w:sz w:val="28"/>
          <w:szCs w:val="28"/>
        </w:rPr>
      </w:pPr>
    </w:p>
    <w:p w14:paraId="2EAC23FD" w14:textId="77777777" w:rsidR="001A5E58" w:rsidRPr="00A4313C" w:rsidRDefault="5A4A5C02" w:rsidP="1A6DFC8B">
      <w:pPr>
        <w:pStyle w:val="Heading3"/>
        <w:rPr>
          <w:color w:val="3275C8"/>
          <w:sz w:val="32"/>
          <w:szCs w:val="32"/>
        </w:rPr>
      </w:pPr>
      <w:bookmarkStart w:id="22" w:name="_tcbsm2dwwid2"/>
      <w:bookmarkEnd w:id="22"/>
      <w:r w:rsidRPr="00A4313C">
        <w:rPr>
          <w:color w:val="3275C8"/>
          <w:sz w:val="32"/>
          <w:szCs w:val="32"/>
        </w:rPr>
        <w:t>Level of support</w:t>
      </w:r>
    </w:p>
    <w:p w14:paraId="6168876D" w14:textId="650F7841" w:rsidR="001A5E58" w:rsidRDefault="71E812B3">
      <w:pPr>
        <w:rPr>
          <w:sz w:val="28"/>
          <w:szCs w:val="28"/>
        </w:rPr>
      </w:pPr>
      <w:r>
        <w:rPr>
          <w:sz w:val="28"/>
          <w:szCs w:val="28"/>
        </w:rPr>
        <w:t>The next key design principle is determining the appropriate level of support for eligible households. In 2024, official DESNZ estimates put the average fuel poverty gap at £407</w:t>
      </w:r>
      <w:r w:rsidR="5F5E818E">
        <w:rPr>
          <w:sz w:val="28"/>
          <w:szCs w:val="28"/>
        </w:rPr>
        <w:t xml:space="preserve"> in England</w:t>
      </w:r>
      <w:r>
        <w:rPr>
          <w:sz w:val="28"/>
          <w:szCs w:val="28"/>
        </w:rPr>
        <w:t>.</w:t>
      </w:r>
      <w:r w:rsidR="00F84F72">
        <w:rPr>
          <w:sz w:val="28"/>
          <w:szCs w:val="28"/>
          <w:vertAlign w:val="superscript"/>
        </w:rPr>
        <w:footnoteReference w:id="28"/>
      </w:r>
      <w:r>
        <w:rPr>
          <w:sz w:val="28"/>
          <w:szCs w:val="28"/>
        </w:rPr>
        <w:t xml:space="preserve"> Public First analysis estimates that the cost of increasing WHD in line with this to £400 per household is £2.1bn a year in total or an annual average of £74 per billpayer, bringing around half a million households out of fuel poverty. However, this fixed payment approach risks overcompensating some households while under-supporting others, and may also create cliff edges in support. In contrast, a formula-based approach can more effectively address these challenges while delivering better value for money, reaching more households out of fuel poverty for a comparable cost. </w:t>
      </w:r>
    </w:p>
    <w:p w14:paraId="5DEF84E5" w14:textId="4791CD15" w:rsidR="001A5E58" w:rsidRDefault="3299063D" w:rsidP="1A6DFC8B">
      <w:pPr>
        <w:rPr>
          <w:sz w:val="28"/>
          <w:szCs w:val="28"/>
          <w:highlight w:val="yellow"/>
        </w:rPr>
      </w:pPr>
      <w:r w:rsidRPr="1A6DFC8B">
        <w:rPr>
          <w:sz w:val="28"/>
          <w:szCs w:val="28"/>
        </w:rPr>
        <w:t xml:space="preserve">Public First estimates that for a similar policy cost (around £2.4bn annually, or £80 average per billpayer), a formula-based model could lift approximately </w:t>
      </w:r>
      <w:r w:rsidR="7EF89E08" w:rsidRPr="1A6DFC8B">
        <w:rPr>
          <w:sz w:val="28"/>
          <w:szCs w:val="28"/>
        </w:rPr>
        <w:t>93</w:t>
      </w:r>
      <w:r w:rsidRPr="1A6DFC8B">
        <w:rPr>
          <w:sz w:val="28"/>
          <w:szCs w:val="28"/>
        </w:rPr>
        <w:t xml:space="preserve">0,000 households out of fuel poverty, about </w:t>
      </w:r>
      <w:r w:rsidR="30087E1E" w:rsidRPr="1A6DFC8B">
        <w:rPr>
          <w:sz w:val="28"/>
          <w:szCs w:val="28"/>
        </w:rPr>
        <w:t>43</w:t>
      </w:r>
      <w:r w:rsidRPr="1A6DFC8B">
        <w:rPr>
          <w:sz w:val="28"/>
          <w:szCs w:val="28"/>
        </w:rPr>
        <w:t>0,000 more than a fixed £400 payment currently provided by the WHD. Under this approach, the cost per household brought out of fuel poverty is £2,</w:t>
      </w:r>
      <w:r w:rsidR="15CF91EA" w:rsidRPr="1A6DFC8B">
        <w:rPr>
          <w:sz w:val="28"/>
          <w:szCs w:val="28"/>
        </w:rPr>
        <w:t>559</w:t>
      </w:r>
      <w:r w:rsidRPr="1A6DFC8B">
        <w:rPr>
          <w:sz w:val="28"/>
          <w:szCs w:val="28"/>
        </w:rPr>
        <w:t>, compared to £4,</w:t>
      </w:r>
      <w:r w:rsidR="39CE114B" w:rsidRPr="1A6DFC8B">
        <w:rPr>
          <w:sz w:val="28"/>
          <w:szCs w:val="28"/>
        </w:rPr>
        <w:t>182</w:t>
      </w:r>
      <w:r w:rsidRPr="1A6DFC8B">
        <w:rPr>
          <w:sz w:val="28"/>
          <w:szCs w:val="28"/>
        </w:rPr>
        <w:t xml:space="preserve"> under a £400 WHD.</w:t>
      </w:r>
      <w:r w:rsidR="38EADB69" w:rsidRPr="1A6DFC8B">
        <w:rPr>
          <w:sz w:val="28"/>
          <w:szCs w:val="28"/>
        </w:rPr>
        <w:t xml:space="preserve"> </w:t>
      </w:r>
      <w:r w:rsidRPr="1A6DFC8B">
        <w:rPr>
          <w:sz w:val="28"/>
          <w:szCs w:val="28"/>
        </w:rPr>
        <w:t xml:space="preserve">Improved targeting allows for deeper support (up to £700) to those on the lowest incomes facing the greatest affordability challenges, gradually tapering to zero for households with equivalised incomes above £30,000. On average, this equates to </w:t>
      </w:r>
      <w:r w:rsidRPr="1A6DFC8B">
        <w:rPr>
          <w:sz w:val="28"/>
          <w:szCs w:val="28"/>
        </w:rPr>
        <w:lastRenderedPageBreak/>
        <w:t>a discount of £275 per eligible household if funded through bills, or £355 if government-funded.</w:t>
      </w:r>
    </w:p>
    <w:p w14:paraId="7BFD2556" w14:textId="0EFB064C" w:rsidR="3C85173F" w:rsidRDefault="3C85173F" w:rsidP="3C85173F">
      <w:pPr>
        <w:rPr>
          <w:sz w:val="28"/>
          <w:szCs w:val="28"/>
        </w:rPr>
      </w:pPr>
    </w:p>
    <w:p w14:paraId="48CA27CC" w14:textId="406B558C" w:rsidR="001A5E58" w:rsidRDefault="5A4A5C02">
      <w:pPr>
        <w:rPr>
          <w:sz w:val="26"/>
          <w:szCs w:val="26"/>
        </w:rPr>
      </w:pPr>
      <w:r w:rsidRPr="1A6DFC8B">
        <w:rPr>
          <w:b/>
          <w:bCs/>
          <w:sz w:val="28"/>
          <w:szCs w:val="28"/>
        </w:rPr>
        <w:t>Figure 1</w:t>
      </w:r>
      <w:r w:rsidR="2F4650BC" w:rsidRPr="1A6DFC8B">
        <w:rPr>
          <w:b/>
          <w:bCs/>
          <w:sz w:val="28"/>
          <w:szCs w:val="28"/>
        </w:rPr>
        <w:t>2</w:t>
      </w:r>
      <w:r w:rsidRPr="1A6DFC8B">
        <w:rPr>
          <w:b/>
          <w:bCs/>
          <w:sz w:val="28"/>
          <w:szCs w:val="28"/>
        </w:rPr>
        <w:t xml:space="preserve">: A formula-based payment has a more progressive distribution than a fixed payment. </w:t>
      </w:r>
      <w:r w:rsidRPr="00344BBB">
        <w:rPr>
          <w:sz w:val="28"/>
          <w:szCs w:val="28"/>
        </w:rPr>
        <w:t>Change in annual energy bill (£) for policy winners of a formula-based payment discount (for households with an equivalised income of up to £30,000) and a £400 fixed payment (WHD eligibility)</w:t>
      </w:r>
      <w:r w:rsidR="1A033A3E" w:rsidRPr="00344BBB">
        <w:rPr>
          <w:sz w:val="28"/>
          <w:szCs w:val="28"/>
        </w:rPr>
        <w:t xml:space="preserve">, by non-mutually exclusive variables of </w:t>
      </w:r>
      <w:r w:rsidRPr="00344BBB">
        <w:rPr>
          <w:sz w:val="28"/>
          <w:szCs w:val="28"/>
        </w:rPr>
        <w:t>disposable income decile, disability status, and age</w:t>
      </w:r>
      <w:r w:rsidR="2AA46279" w:rsidRPr="00344BBB">
        <w:rPr>
          <w:sz w:val="28"/>
          <w:szCs w:val="28"/>
        </w:rPr>
        <w:t>, GB</w:t>
      </w:r>
      <w:r w:rsidRPr="00344BBB">
        <w:rPr>
          <w:sz w:val="28"/>
          <w:szCs w:val="28"/>
        </w:rPr>
        <w:t>.</w:t>
      </w:r>
    </w:p>
    <w:p w14:paraId="0E659873" w14:textId="67BEEB83" w:rsidR="001A5E58" w:rsidRDefault="003B68B3">
      <w:r>
        <w:rPr>
          <w:noProof/>
        </w:rPr>
        <w:drawing>
          <wp:inline distT="0" distB="0" distL="0" distR="0" wp14:anchorId="1856B9AC" wp14:editId="766025F2">
            <wp:extent cx="6479540" cy="4015105"/>
            <wp:effectExtent l="0" t="0" r="0" b="0"/>
            <wp:docPr id="972983731" name="Picture 10" descr="Bar chart comparing changes in annual energy bills for winners under two models: a formula-based income-linked payment (up to £700, tapering to £0 at £30k income) versus a flat £400 payment. Formula-based discounts deliver greater average savings for low-income households (around £421) than flat payments (£326). Disabled and older households benefit under both but receive deeper support through income-linked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83731" name="Picture 10" descr="Bar chart comparing changes in annual energy bills for winners under two models: a formula-based income-linked payment (up to £700, tapering to £0 at £30k income) versus a flat £400 payment. Formula-based discounts deliver greater average savings for low-income households (around £421) than flat payments (£326). Disabled and older households benefit under both but receive deeper support through income-linked paymen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p>
    <w:p w14:paraId="6A96375C" w14:textId="77777777" w:rsidR="001A5E58" w:rsidRPr="00344BBB" w:rsidRDefault="00F84F72">
      <w:pPr>
        <w:spacing w:before="200" w:after="120" w:line="348" w:lineRule="auto"/>
        <w:rPr>
          <w:iCs/>
          <w:sz w:val="26"/>
          <w:szCs w:val="26"/>
        </w:rPr>
      </w:pPr>
      <w:r w:rsidRPr="00344BBB">
        <w:rPr>
          <w:iCs/>
          <w:sz w:val="26"/>
          <w:szCs w:val="26"/>
        </w:rPr>
        <w:t>Source: Public First analysis of Living Cost and Food Survey (2022/23) uprated for 2025</w:t>
      </w:r>
    </w:p>
    <w:p w14:paraId="1FD6BE7B" w14:textId="77777777" w:rsidR="001A5E58" w:rsidRDefault="001A5E58">
      <w:pPr>
        <w:rPr>
          <w:sz w:val="26"/>
          <w:szCs w:val="26"/>
        </w:rPr>
      </w:pPr>
    </w:p>
    <w:p w14:paraId="099E4D5E" w14:textId="77777777" w:rsidR="00831995" w:rsidRDefault="71E812B3">
      <w:pPr>
        <w:rPr>
          <w:sz w:val="28"/>
          <w:szCs w:val="28"/>
        </w:rPr>
      </w:pPr>
      <w:r>
        <w:rPr>
          <w:sz w:val="28"/>
          <w:szCs w:val="28"/>
        </w:rPr>
        <w:t>Basing the formula solely on income risks excluding households that face higher energy costs for reasons beyond finances. As highlighted in Chapter One, the fuel poverty gap is not just determined by income. On average, standard credit customers face an additional £92 gap for electricity and £59 for gas compared to direct debit customers, as shown previously in Figure 5.</w:t>
      </w:r>
      <w:r w:rsidR="00F84F72">
        <w:rPr>
          <w:sz w:val="28"/>
          <w:szCs w:val="28"/>
          <w:vertAlign w:val="superscript"/>
        </w:rPr>
        <w:footnoteReference w:id="29"/>
      </w:r>
      <w:r>
        <w:rPr>
          <w:sz w:val="28"/>
          <w:szCs w:val="28"/>
        </w:rPr>
        <w:t xml:space="preserve"> </w:t>
      </w:r>
    </w:p>
    <w:p w14:paraId="65712376" w14:textId="76D19D2C" w:rsidR="001A5E58" w:rsidRDefault="3299063D">
      <w:pPr>
        <w:rPr>
          <w:sz w:val="28"/>
          <w:szCs w:val="28"/>
        </w:rPr>
      </w:pPr>
      <w:r w:rsidRPr="1A6DFC8B">
        <w:rPr>
          <w:sz w:val="28"/>
          <w:szCs w:val="28"/>
        </w:rPr>
        <w:t xml:space="preserve">Public First analysis of the Living Cost and Food Survey also estimates that </w:t>
      </w:r>
      <w:r w:rsidR="4CEB8F53" w:rsidRPr="1A6DFC8B">
        <w:rPr>
          <w:sz w:val="28"/>
          <w:szCs w:val="28"/>
        </w:rPr>
        <w:t xml:space="preserve">disabled households, as defined </w:t>
      </w:r>
      <w:r w:rsidRPr="1A6DFC8B">
        <w:rPr>
          <w:sz w:val="28"/>
          <w:szCs w:val="28"/>
        </w:rPr>
        <w:t xml:space="preserve">under the Equality Act </w:t>
      </w:r>
      <w:r w:rsidR="3E909126" w:rsidRPr="1A6DFC8B">
        <w:rPr>
          <w:sz w:val="28"/>
          <w:szCs w:val="28"/>
        </w:rPr>
        <w:t xml:space="preserve">2010, </w:t>
      </w:r>
      <w:r w:rsidRPr="1A6DFC8B">
        <w:rPr>
          <w:sz w:val="28"/>
          <w:szCs w:val="28"/>
        </w:rPr>
        <w:t xml:space="preserve">pay an average of </w:t>
      </w:r>
      <w:r w:rsidRPr="1A6DFC8B">
        <w:rPr>
          <w:sz w:val="28"/>
          <w:szCs w:val="28"/>
        </w:rPr>
        <w:lastRenderedPageBreak/>
        <w:t>£</w:t>
      </w:r>
      <w:r w:rsidR="416E191E" w:rsidRPr="1A6DFC8B">
        <w:rPr>
          <w:sz w:val="28"/>
          <w:szCs w:val="28"/>
        </w:rPr>
        <w:t>86</w:t>
      </w:r>
      <w:r w:rsidRPr="1A6DFC8B">
        <w:rPr>
          <w:sz w:val="28"/>
          <w:szCs w:val="28"/>
        </w:rPr>
        <w:t xml:space="preserve"> more per year, and disability benefit claimants pay £</w:t>
      </w:r>
      <w:r w:rsidR="365B6277" w:rsidRPr="1A6DFC8B">
        <w:rPr>
          <w:sz w:val="28"/>
          <w:szCs w:val="28"/>
        </w:rPr>
        <w:t>97</w:t>
      </w:r>
      <w:r w:rsidRPr="1A6DFC8B">
        <w:rPr>
          <w:sz w:val="28"/>
          <w:szCs w:val="28"/>
        </w:rPr>
        <w:t xml:space="preserve"> more per year than non-disabled households.</w:t>
      </w:r>
    </w:p>
    <w:p w14:paraId="406A6219" w14:textId="77777777" w:rsidR="001A5E58" w:rsidRDefault="001A5E58">
      <w:pPr>
        <w:rPr>
          <w:sz w:val="28"/>
          <w:szCs w:val="28"/>
        </w:rPr>
      </w:pPr>
    </w:p>
    <w:p w14:paraId="4C423911" w14:textId="473C44B6" w:rsidR="001A5E58" w:rsidRDefault="497E5335" w:rsidP="1A6DFC8B">
      <w:pPr>
        <w:rPr>
          <w:i/>
          <w:iCs/>
          <w:sz w:val="28"/>
          <w:szCs w:val="28"/>
          <w:highlight w:val="yellow"/>
          <w:rPrChange w:id="23" w:author="Amy Norman" w:date="2025-08-06T13:18:00Z">
            <w:rPr/>
          </w:rPrChange>
        </w:rPr>
      </w:pPr>
      <w:r w:rsidRPr="1A6DFC8B">
        <w:rPr>
          <w:b/>
          <w:bCs/>
          <w:sz w:val="28"/>
          <w:szCs w:val="28"/>
        </w:rPr>
        <w:t>Figure 13: Disabled households pay on average £</w:t>
      </w:r>
      <w:r w:rsidR="71B259F1" w:rsidRPr="1A6DFC8B">
        <w:rPr>
          <w:b/>
          <w:bCs/>
          <w:sz w:val="28"/>
          <w:szCs w:val="28"/>
        </w:rPr>
        <w:t>86</w:t>
      </w:r>
      <w:r w:rsidRPr="1A6DFC8B">
        <w:rPr>
          <w:b/>
          <w:bCs/>
          <w:sz w:val="28"/>
          <w:szCs w:val="28"/>
        </w:rPr>
        <w:t>-£</w:t>
      </w:r>
      <w:r w:rsidR="4C3D596B" w:rsidRPr="1A6DFC8B">
        <w:rPr>
          <w:b/>
          <w:bCs/>
          <w:sz w:val="28"/>
          <w:szCs w:val="28"/>
        </w:rPr>
        <w:t>97</w:t>
      </w:r>
      <w:r w:rsidRPr="1A6DFC8B">
        <w:rPr>
          <w:b/>
          <w:bCs/>
          <w:sz w:val="28"/>
          <w:szCs w:val="28"/>
        </w:rPr>
        <w:t xml:space="preserve"> more per year than non-disabled households for energy. </w:t>
      </w:r>
      <w:r w:rsidRPr="00344BBB">
        <w:rPr>
          <w:sz w:val="28"/>
          <w:szCs w:val="28"/>
        </w:rPr>
        <w:t>Average energy expenditure and as a percentage of after housing cost income by disability status</w:t>
      </w:r>
      <w:r w:rsidR="600B573C" w:rsidRPr="00344BBB">
        <w:rPr>
          <w:sz w:val="28"/>
          <w:szCs w:val="28"/>
        </w:rPr>
        <w:t>, GB</w:t>
      </w:r>
      <w:r w:rsidRPr="00344BBB">
        <w:rPr>
          <w:sz w:val="28"/>
          <w:szCs w:val="28"/>
        </w:rPr>
        <w:t>.</w:t>
      </w:r>
    </w:p>
    <w:p w14:paraId="0208AF36" w14:textId="28142B5D" w:rsidR="001A5E58" w:rsidRPr="00344BBB" w:rsidRDefault="003E0067" w:rsidP="1A6DFC8B">
      <w:pPr>
        <w:spacing w:before="200" w:after="120" w:line="348" w:lineRule="auto"/>
        <w:rPr>
          <w:sz w:val="24"/>
          <w:szCs w:val="24"/>
        </w:rPr>
      </w:pPr>
      <w:r>
        <w:rPr>
          <w:noProof/>
        </w:rPr>
        <w:drawing>
          <wp:inline distT="0" distB="0" distL="0" distR="0" wp14:anchorId="46406783" wp14:editId="38A52F9D">
            <wp:extent cx="6479540" cy="4015105"/>
            <wp:effectExtent l="0" t="0" r="0" b="0"/>
            <wp:docPr id="2124974205" name="Picture 11" descr="Bar chart showing energy spending by disability status. Disabled households spend an average of £86–£97 more annually on energy than non-disabled households, both in absolute costs and as a higher percentage of after-housing-cost income. This highlights the financial penalty faced by disabled households due to unavoidable higher energy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74205" name="Picture 11" descr="Bar chart showing energy spending by disability status. Disabled households spend an average of £86–£97 more annually on energy than non-disabled households, both in absolute costs and as a higher percentage of after-housing-cost income. This highlights the financial penalty faced by disabled households due to unavoidable higher energy nee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r w:rsidR="5A4A5C02" w:rsidRPr="00344BBB">
        <w:rPr>
          <w:sz w:val="24"/>
          <w:szCs w:val="24"/>
        </w:rPr>
        <w:t>Source: Public First analysis of Living Cost and Food Survey (2022/23) uprated for 2025</w:t>
      </w:r>
    </w:p>
    <w:p w14:paraId="22364AD7" w14:textId="2C67A4A9" w:rsidR="001A5E58" w:rsidRDefault="367B7873" w:rsidP="3C85173F">
      <w:pPr>
        <w:spacing w:line="259" w:lineRule="auto"/>
        <w:rPr>
          <w:sz w:val="28"/>
          <w:szCs w:val="28"/>
        </w:rPr>
      </w:pPr>
      <w:r w:rsidRPr="3C85173F">
        <w:rPr>
          <w:sz w:val="28"/>
          <w:szCs w:val="28"/>
        </w:rPr>
        <w:t>A booster fixed payment of £100 could reduce this premium for disabled households as well as for standing credit customers</w:t>
      </w:r>
      <w:r w:rsidR="1FA3E8DA" w:rsidRPr="3C85173F">
        <w:rPr>
          <w:sz w:val="28"/>
          <w:szCs w:val="28"/>
        </w:rPr>
        <w:t xml:space="preserve"> who also face </w:t>
      </w:r>
      <w:r w:rsidR="5DD4C955" w:rsidRPr="3C85173F">
        <w:rPr>
          <w:sz w:val="28"/>
          <w:szCs w:val="28"/>
        </w:rPr>
        <w:t>a</w:t>
      </w:r>
      <w:r w:rsidR="0CD02E15" w:rsidRPr="3C85173F">
        <w:rPr>
          <w:sz w:val="28"/>
          <w:szCs w:val="28"/>
        </w:rPr>
        <w:t xml:space="preserve"> deeper fuel poverty gap of </w:t>
      </w:r>
      <w:r w:rsidR="5DD4C955" w:rsidRPr="3C85173F">
        <w:rPr>
          <w:sz w:val="28"/>
          <w:szCs w:val="28"/>
        </w:rPr>
        <w:t xml:space="preserve">£100 </w:t>
      </w:r>
      <w:r w:rsidR="36DF5446" w:rsidRPr="3C85173F">
        <w:rPr>
          <w:sz w:val="28"/>
          <w:szCs w:val="28"/>
        </w:rPr>
        <w:t>more than direct debit customers, as shown in Chapter One</w:t>
      </w:r>
      <w:r w:rsidRPr="3C85173F">
        <w:rPr>
          <w:sz w:val="28"/>
          <w:szCs w:val="28"/>
        </w:rPr>
        <w:t>. Public First analysis below illustrates how these payments provide deeper support for households that meet multiple aspects of the low-income, disability and standard credit eligibility, and broader support (albeit a smaller amount) to households that are above the income threshold.</w:t>
      </w:r>
    </w:p>
    <w:p w14:paraId="75D234B2" w14:textId="691C6A25" w:rsidR="373B22FE" w:rsidRDefault="497E5335" w:rsidP="3C85173F">
      <w:pPr>
        <w:spacing w:line="259" w:lineRule="auto"/>
        <w:rPr>
          <w:sz w:val="28"/>
          <w:szCs w:val="28"/>
        </w:rPr>
      </w:pPr>
      <w:r w:rsidRPr="1A6DFC8B">
        <w:rPr>
          <w:sz w:val="28"/>
          <w:szCs w:val="28"/>
        </w:rPr>
        <w:t xml:space="preserve">It is worth noting the risk of creating unintended consequences around standard credit customers by introducing a booster payment. This could in theory incentivise customers to stay on standard credit or move away from other payment options towards standard credit, which as a payment method, has higher debt related costs. As such, the £100 booster payment should only be available to </w:t>
      </w:r>
      <w:r w:rsidRPr="1A6DFC8B">
        <w:rPr>
          <w:sz w:val="28"/>
          <w:szCs w:val="28"/>
        </w:rPr>
        <w:lastRenderedPageBreak/>
        <w:t>customers that are already eligible for the target bill support, within the income threshold.</w:t>
      </w:r>
    </w:p>
    <w:p w14:paraId="6162E6AE" w14:textId="6F522BE1" w:rsidR="001A5E58" w:rsidRDefault="497E5335" w:rsidP="3C85173F">
      <w:pPr>
        <w:rPr>
          <w:sz w:val="28"/>
          <w:szCs w:val="28"/>
        </w:rPr>
      </w:pPr>
      <w:r w:rsidRPr="1A6DFC8B">
        <w:rPr>
          <w:sz w:val="28"/>
          <w:szCs w:val="28"/>
        </w:rPr>
        <w:t xml:space="preserve">Looking ahead, policymakers must contend with providing meaningful support to households amidst fluctuating energy prices, while also providing reliable, predictable payments. Unlike the WHD, which has remained at £150 since 2011, targeted bill support should keep pace with changes in energy prices to ensure it is both adequate if prices increase, and cost-effective if prices decrease. Policymakers should commit to an annual adjustment to the value of support tied to, for example, the price cap, the average fuel poverty gap, or other market factors. </w:t>
      </w:r>
    </w:p>
    <w:p w14:paraId="4D33EED2" w14:textId="35C9B8F4" w:rsidR="001A5E58" w:rsidRDefault="367B7873">
      <w:pPr>
        <w:rPr>
          <w:sz w:val="28"/>
          <w:szCs w:val="28"/>
        </w:rPr>
      </w:pPr>
      <w:r w:rsidRPr="3C85173F">
        <w:rPr>
          <w:sz w:val="28"/>
          <w:szCs w:val="28"/>
        </w:rPr>
        <w:t>The research explores three key scenarios for a formula-based payment:</w:t>
      </w:r>
    </w:p>
    <w:p w14:paraId="5C5DC641" w14:textId="77777777" w:rsidR="001A5E58" w:rsidRDefault="00F84F72">
      <w:pPr>
        <w:numPr>
          <w:ilvl w:val="0"/>
          <w:numId w:val="27"/>
        </w:numPr>
        <w:rPr>
          <w:sz w:val="28"/>
          <w:szCs w:val="28"/>
        </w:rPr>
      </w:pPr>
      <w:r>
        <w:rPr>
          <w:b/>
          <w:sz w:val="28"/>
          <w:szCs w:val="28"/>
        </w:rPr>
        <w:t>Income-linked payment only</w:t>
      </w:r>
      <w:r>
        <w:rPr>
          <w:sz w:val="28"/>
          <w:szCs w:val="28"/>
        </w:rPr>
        <w:t xml:space="preserve"> where support tapers from £700 for those on the lowest incomes down to £0 for households with up to £30,000 equivalised household income.</w:t>
      </w:r>
    </w:p>
    <w:p w14:paraId="148B8EE5" w14:textId="170A7132" w:rsidR="001A5E58" w:rsidRDefault="71E812B3">
      <w:pPr>
        <w:numPr>
          <w:ilvl w:val="0"/>
          <w:numId w:val="27"/>
        </w:numPr>
        <w:rPr>
          <w:sz w:val="28"/>
          <w:szCs w:val="28"/>
        </w:rPr>
      </w:pPr>
      <w:r w:rsidRPr="3C85173F">
        <w:rPr>
          <w:b/>
          <w:bCs/>
          <w:sz w:val="28"/>
          <w:szCs w:val="28"/>
        </w:rPr>
        <w:t xml:space="preserve">Income-linked payment plus £100 booster for </w:t>
      </w:r>
      <w:r w:rsidR="7BCCB3E9" w:rsidRPr="3C85173F">
        <w:rPr>
          <w:b/>
          <w:bCs/>
          <w:sz w:val="28"/>
          <w:szCs w:val="28"/>
        </w:rPr>
        <w:t xml:space="preserve">income-eligible </w:t>
      </w:r>
      <w:r w:rsidRPr="3C85173F">
        <w:rPr>
          <w:b/>
          <w:bCs/>
          <w:sz w:val="28"/>
          <w:szCs w:val="28"/>
        </w:rPr>
        <w:t xml:space="preserve">standard credit customers and </w:t>
      </w:r>
      <w:r w:rsidR="7C71C3AF" w:rsidRPr="3C85173F">
        <w:rPr>
          <w:b/>
          <w:bCs/>
          <w:sz w:val="28"/>
          <w:szCs w:val="28"/>
        </w:rPr>
        <w:t xml:space="preserve">households </w:t>
      </w:r>
      <w:r w:rsidRPr="3C85173F">
        <w:rPr>
          <w:b/>
          <w:bCs/>
          <w:sz w:val="28"/>
          <w:szCs w:val="28"/>
        </w:rPr>
        <w:t>claiming relevant disability benefits</w:t>
      </w:r>
      <w:r w:rsidRPr="3C85173F">
        <w:rPr>
          <w:sz w:val="28"/>
          <w:szCs w:val="28"/>
        </w:rPr>
        <w:t xml:space="preserve">, including PIP, ESA, DLA, Attendance Allowance, and Carer’s Allowance. </w:t>
      </w:r>
    </w:p>
    <w:p w14:paraId="48F5B484" w14:textId="0D43F6AC" w:rsidR="001A5E58" w:rsidRDefault="367B7873" w:rsidP="3C85173F">
      <w:pPr>
        <w:numPr>
          <w:ilvl w:val="0"/>
          <w:numId w:val="27"/>
        </w:numPr>
        <w:rPr>
          <w:b/>
          <w:bCs/>
          <w:sz w:val="28"/>
          <w:szCs w:val="28"/>
        </w:rPr>
      </w:pPr>
      <w:r w:rsidRPr="3C85173F">
        <w:rPr>
          <w:b/>
          <w:bCs/>
          <w:sz w:val="28"/>
          <w:szCs w:val="28"/>
        </w:rPr>
        <w:t>Income-linked payment plus £100 booster for</w:t>
      </w:r>
      <w:r w:rsidR="1821FB6B" w:rsidRPr="3C85173F">
        <w:rPr>
          <w:b/>
          <w:bCs/>
          <w:sz w:val="28"/>
          <w:szCs w:val="28"/>
        </w:rPr>
        <w:t xml:space="preserve"> income-eligible</w:t>
      </w:r>
      <w:r w:rsidRPr="3C85173F">
        <w:rPr>
          <w:b/>
          <w:bCs/>
          <w:sz w:val="28"/>
          <w:szCs w:val="28"/>
        </w:rPr>
        <w:t xml:space="preserve"> standard credit customers and </w:t>
      </w:r>
      <w:r w:rsidR="2ED52912" w:rsidRPr="3C85173F">
        <w:rPr>
          <w:b/>
          <w:bCs/>
          <w:sz w:val="28"/>
          <w:szCs w:val="28"/>
        </w:rPr>
        <w:t>disabled households, a</w:t>
      </w:r>
      <w:r w:rsidRPr="3C85173F">
        <w:rPr>
          <w:b/>
          <w:bCs/>
          <w:sz w:val="28"/>
          <w:szCs w:val="28"/>
        </w:rPr>
        <w:t>s</w:t>
      </w:r>
      <w:r w:rsidR="2ED52912" w:rsidRPr="3C85173F">
        <w:rPr>
          <w:b/>
          <w:bCs/>
          <w:sz w:val="28"/>
          <w:szCs w:val="28"/>
        </w:rPr>
        <w:t xml:space="preserve"> defined</w:t>
      </w:r>
      <w:r w:rsidRPr="3C85173F">
        <w:rPr>
          <w:b/>
          <w:bCs/>
          <w:sz w:val="28"/>
          <w:szCs w:val="28"/>
        </w:rPr>
        <w:t xml:space="preserve"> under the Equality Act</w:t>
      </w:r>
      <w:r w:rsidR="60B3EF67" w:rsidRPr="3C85173F">
        <w:rPr>
          <w:b/>
          <w:bCs/>
          <w:sz w:val="28"/>
          <w:szCs w:val="28"/>
        </w:rPr>
        <w:t xml:space="preserve"> 2010</w:t>
      </w:r>
      <w:r w:rsidRPr="3C85173F">
        <w:rPr>
          <w:b/>
          <w:bCs/>
          <w:sz w:val="28"/>
          <w:szCs w:val="28"/>
        </w:rPr>
        <w:t>.</w:t>
      </w:r>
    </w:p>
    <w:p w14:paraId="44BE8E74" w14:textId="0BD719B0" w:rsidR="00790237" w:rsidRDefault="5B43EAB0">
      <w:pPr>
        <w:rPr>
          <w:b/>
          <w:bCs/>
          <w:sz w:val="28"/>
          <w:szCs w:val="28"/>
        </w:rPr>
      </w:pPr>
      <w:r w:rsidRPr="1A6DFC8B">
        <w:rPr>
          <w:sz w:val="28"/>
          <w:szCs w:val="28"/>
        </w:rPr>
        <w:t>As shown in Table 2, as the breadth of each policy’s eligibility increases, so does the number of policy winners and the cost of the overall policy, increasing from £2.</w:t>
      </w:r>
      <w:r w:rsidR="47F42BD8" w:rsidRPr="1A6DFC8B">
        <w:rPr>
          <w:sz w:val="28"/>
          <w:szCs w:val="28"/>
        </w:rPr>
        <w:t>4</w:t>
      </w:r>
      <w:r w:rsidRPr="1A6DFC8B">
        <w:rPr>
          <w:sz w:val="28"/>
          <w:szCs w:val="28"/>
        </w:rPr>
        <w:t>bn under Scenario 1 (solely income-linked) up to £</w:t>
      </w:r>
      <w:r w:rsidR="2D640885" w:rsidRPr="1A6DFC8B">
        <w:rPr>
          <w:sz w:val="28"/>
          <w:szCs w:val="28"/>
        </w:rPr>
        <w:t>3.0</w:t>
      </w:r>
      <w:r w:rsidRPr="1A6DFC8B">
        <w:rPr>
          <w:sz w:val="28"/>
          <w:szCs w:val="28"/>
        </w:rPr>
        <w:t>bn for Scenario 2 (Boosters for standard credit and disability benefit</w:t>
      </w:r>
      <w:r w:rsidR="17F07286" w:rsidRPr="1A6DFC8B">
        <w:rPr>
          <w:sz w:val="28"/>
          <w:szCs w:val="28"/>
        </w:rPr>
        <w:t xml:space="preserve"> claimants</w:t>
      </w:r>
      <w:r w:rsidRPr="1A6DFC8B">
        <w:rPr>
          <w:sz w:val="28"/>
          <w:szCs w:val="28"/>
        </w:rPr>
        <w:t>) and £</w:t>
      </w:r>
      <w:r w:rsidR="2851F624" w:rsidRPr="1A6DFC8B">
        <w:rPr>
          <w:sz w:val="28"/>
          <w:szCs w:val="28"/>
        </w:rPr>
        <w:t>4.1</w:t>
      </w:r>
      <w:r w:rsidRPr="1A6DFC8B">
        <w:rPr>
          <w:sz w:val="28"/>
          <w:szCs w:val="28"/>
        </w:rPr>
        <w:t>bn in Scenario 3 (Boosters for</w:t>
      </w:r>
      <w:r w:rsidR="4D4A9881" w:rsidRPr="1A6DFC8B">
        <w:rPr>
          <w:sz w:val="28"/>
          <w:szCs w:val="28"/>
        </w:rPr>
        <w:t xml:space="preserve"> income-eligible</w:t>
      </w:r>
      <w:r w:rsidRPr="1A6DFC8B">
        <w:rPr>
          <w:sz w:val="28"/>
          <w:szCs w:val="28"/>
        </w:rPr>
        <w:t xml:space="preserve"> standard credit </w:t>
      </w:r>
      <w:r w:rsidR="21243AB3" w:rsidRPr="1A6DFC8B">
        <w:rPr>
          <w:sz w:val="28"/>
          <w:szCs w:val="28"/>
        </w:rPr>
        <w:t xml:space="preserve">customers </w:t>
      </w:r>
      <w:r w:rsidRPr="1A6DFC8B">
        <w:rPr>
          <w:sz w:val="28"/>
          <w:szCs w:val="28"/>
        </w:rPr>
        <w:t xml:space="preserve">and </w:t>
      </w:r>
      <w:r w:rsidR="4A4E39B6" w:rsidRPr="1A6DFC8B">
        <w:rPr>
          <w:sz w:val="28"/>
          <w:szCs w:val="28"/>
        </w:rPr>
        <w:t xml:space="preserve">disabled customers, under the </w:t>
      </w:r>
      <w:r w:rsidRPr="1A6DFC8B">
        <w:rPr>
          <w:sz w:val="28"/>
          <w:szCs w:val="28"/>
        </w:rPr>
        <w:t xml:space="preserve">Equality Act </w:t>
      </w:r>
      <w:r w:rsidR="2E984E23" w:rsidRPr="1A6DFC8B">
        <w:rPr>
          <w:sz w:val="28"/>
          <w:szCs w:val="28"/>
        </w:rPr>
        <w:t xml:space="preserve">2010 </w:t>
      </w:r>
      <w:r w:rsidRPr="1A6DFC8B">
        <w:rPr>
          <w:sz w:val="28"/>
          <w:szCs w:val="28"/>
        </w:rPr>
        <w:t xml:space="preserve">). Figures 12 and 14 illustrate the positive and negative distributional effects of this. Figure 12 demonstrates how the breadth of Scenario 3 would benefit over half (52%) of disabled households, as well as over half across the three bottom income deciles, bringing </w:t>
      </w:r>
      <w:r w:rsidR="1A2A7BF8" w:rsidRPr="1A6DFC8B">
        <w:rPr>
          <w:sz w:val="28"/>
          <w:szCs w:val="28"/>
        </w:rPr>
        <w:t>over</w:t>
      </w:r>
      <w:r w:rsidRPr="1A6DFC8B">
        <w:rPr>
          <w:sz w:val="28"/>
          <w:szCs w:val="28"/>
        </w:rPr>
        <w:t xml:space="preserve"> </w:t>
      </w:r>
      <w:r w:rsidR="233EEDCA" w:rsidRPr="1A6DFC8B">
        <w:rPr>
          <w:sz w:val="28"/>
          <w:szCs w:val="28"/>
        </w:rPr>
        <w:t>1.1 million</w:t>
      </w:r>
      <w:r w:rsidRPr="1A6DFC8B">
        <w:rPr>
          <w:sz w:val="28"/>
          <w:szCs w:val="28"/>
        </w:rPr>
        <w:t xml:space="preserve"> households out of fuel poverty. By comparison, Scenario 2 supports </w:t>
      </w:r>
      <w:r w:rsidR="005090B5" w:rsidRPr="1A6DFC8B">
        <w:rPr>
          <w:sz w:val="28"/>
          <w:szCs w:val="28"/>
        </w:rPr>
        <w:t xml:space="preserve">fewer </w:t>
      </w:r>
      <w:r w:rsidRPr="1A6DFC8B">
        <w:rPr>
          <w:sz w:val="28"/>
          <w:szCs w:val="28"/>
        </w:rPr>
        <w:t xml:space="preserve">disabled households but </w:t>
      </w:r>
      <w:r w:rsidR="29A0F8AC" w:rsidRPr="1A6DFC8B">
        <w:rPr>
          <w:sz w:val="28"/>
          <w:szCs w:val="28"/>
        </w:rPr>
        <w:t xml:space="preserve">older </w:t>
      </w:r>
      <w:r w:rsidRPr="1A6DFC8B">
        <w:rPr>
          <w:sz w:val="28"/>
          <w:szCs w:val="28"/>
        </w:rPr>
        <w:t xml:space="preserve">households (aged 65+), given its inclusion of benefits like Carer’s Allowance and Attendance Allowance. Overall Scenario 2 would still bring </w:t>
      </w:r>
      <w:r w:rsidR="4DA9AB56" w:rsidRPr="1A6DFC8B">
        <w:rPr>
          <w:sz w:val="28"/>
          <w:szCs w:val="28"/>
        </w:rPr>
        <w:t>over 1 million</w:t>
      </w:r>
      <w:r w:rsidRPr="1A6DFC8B">
        <w:rPr>
          <w:sz w:val="28"/>
          <w:szCs w:val="28"/>
        </w:rPr>
        <w:t xml:space="preserve"> households out of fuel poverty.</w:t>
      </w:r>
    </w:p>
    <w:p w14:paraId="718C9EA4" w14:textId="07092FF5" w:rsidR="4D45A19D" w:rsidRDefault="4D45A19D" w:rsidP="1A6DFC8B">
      <w:pPr>
        <w:rPr>
          <w:sz w:val="28"/>
          <w:szCs w:val="28"/>
        </w:rPr>
      </w:pPr>
      <w:r w:rsidRPr="1A6DFC8B">
        <w:rPr>
          <w:sz w:val="28"/>
          <w:szCs w:val="28"/>
        </w:rPr>
        <w:t>The majority (70% or 3.6 million) of households currently eligible for the expanded WHD would be eligible under Scenario 3, while also reaching a further 5 million households not currently eligible for any targeted bill support.</w:t>
      </w:r>
    </w:p>
    <w:p w14:paraId="6994ACE3" w14:textId="066DC334" w:rsidR="1A6DFC8B" w:rsidRDefault="1A6DFC8B" w:rsidP="1A6DFC8B">
      <w:pPr>
        <w:rPr>
          <w:sz w:val="28"/>
          <w:szCs w:val="28"/>
        </w:rPr>
      </w:pPr>
    </w:p>
    <w:p w14:paraId="4B54F06A" w14:textId="1678BE7D" w:rsidR="001A5E58" w:rsidRDefault="5B43EAB0">
      <w:pPr>
        <w:rPr>
          <w:sz w:val="28"/>
          <w:szCs w:val="28"/>
        </w:rPr>
      </w:pPr>
      <w:r w:rsidRPr="1A6DFC8B">
        <w:rPr>
          <w:b/>
          <w:bCs/>
          <w:sz w:val="28"/>
          <w:szCs w:val="28"/>
        </w:rPr>
        <w:lastRenderedPageBreak/>
        <w:t>Figure 1</w:t>
      </w:r>
      <w:r w:rsidR="2F4650BC" w:rsidRPr="1A6DFC8B">
        <w:rPr>
          <w:b/>
          <w:bCs/>
          <w:sz w:val="28"/>
          <w:szCs w:val="28"/>
        </w:rPr>
        <w:t>4</w:t>
      </w:r>
      <w:r w:rsidRPr="1A6DFC8B">
        <w:rPr>
          <w:b/>
          <w:bCs/>
          <w:sz w:val="28"/>
          <w:szCs w:val="28"/>
        </w:rPr>
        <w:t xml:space="preserve">: Targeting disabled households beyond the welfare system and income threshold would benefit all household groups. </w:t>
      </w:r>
      <w:r w:rsidRPr="00344BBB">
        <w:rPr>
          <w:sz w:val="28"/>
          <w:szCs w:val="28"/>
        </w:rPr>
        <w:t xml:space="preserve">Percentage of policy winners of three formula-based payment discount scenarios, by </w:t>
      </w:r>
      <w:r w:rsidR="29A0F8AC" w:rsidRPr="00344BBB">
        <w:rPr>
          <w:sz w:val="28"/>
          <w:szCs w:val="28"/>
        </w:rPr>
        <w:t xml:space="preserve">non-mutually exclusive variables of </w:t>
      </w:r>
      <w:r w:rsidRPr="00344BBB">
        <w:rPr>
          <w:sz w:val="28"/>
          <w:szCs w:val="28"/>
        </w:rPr>
        <w:t>disposable income decile, disability status, and age</w:t>
      </w:r>
      <w:r w:rsidR="7DDC70D8" w:rsidRPr="00344BBB">
        <w:rPr>
          <w:sz w:val="28"/>
          <w:szCs w:val="28"/>
        </w:rPr>
        <w:t>, GB</w:t>
      </w:r>
      <w:r w:rsidRPr="00344BBB">
        <w:rPr>
          <w:sz w:val="28"/>
          <w:szCs w:val="28"/>
        </w:rPr>
        <w:t>.</w:t>
      </w:r>
    </w:p>
    <w:p w14:paraId="23B49F9C" w14:textId="1BD01CA4" w:rsidR="001A5E58" w:rsidRPr="00344BBB" w:rsidRDefault="006F7ECC">
      <w:pPr>
        <w:spacing w:before="200" w:after="120" w:line="348" w:lineRule="auto"/>
        <w:rPr>
          <w:sz w:val="28"/>
          <w:szCs w:val="28"/>
        </w:rPr>
      </w:pPr>
      <w:r>
        <w:rPr>
          <w:noProof/>
        </w:rPr>
        <w:drawing>
          <wp:inline distT="0" distB="0" distL="0" distR="0" wp14:anchorId="01E961CE" wp14:editId="459B1687">
            <wp:extent cx="6479540" cy="4015105"/>
            <wp:effectExtent l="0" t="0" r="0" b="0"/>
            <wp:docPr id="570945735" name="Picture 12" descr="Bar chart showing proportion of policy winners under three scenarios of formula-based targeted bill support: (1) income-linked only, (2) income-linked plus £100 for benefit-claiming disabled households and standard credit customers, (3) income-linked plus £100 for all disabled households (Equality Act definition) and standard credit customers. Scenario 3 delivers the broadest impact, benefiting over half of disabled households and over half of the lowest-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45735" name="Picture 12" descr="Bar chart showing proportion of policy winners under three scenarios of formula-based targeted bill support: (1) income-linked only, (2) income-linked plus £100 for benefit-claiming disabled households and standard credit customers, (3) income-linked plus £100 for all disabled households (Equality Act definition) and standard credit customers. Scenario 3 delivers the broadest impact, benefiting over half of disabled households and over half of the lowest-income decil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r w:rsidR="5D373363">
        <w:br/>
      </w:r>
      <w:r w:rsidR="3299063D" w:rsidRPr="00344BBB">
        <w:rPr>
          <w:sz w:val="24"/>
          <w:szCs w:val="24"/>
        </w:rPr>
        <w:t>Source: Public First analysis of Living Cost and Food Survey (2022/23) uprated for 2025</w:t>
      </w:r>
    </w:p>
    <w:p w14:paraId="1A8728E2" w14:textId="6821D8AF" w:rsidR="76F87310" w:rsidRPr="00344BBB" w:rsidRDefault="76F87310" w:rsidP="3C85173F">
      <w:pPr>
        <w:spacing w:line="259" w:lineRule="auto"/>
        <w:rPr>
          <w:sz w:val="24"/>
          <w:szCs w:val="24"/>
        </w:rPr>
      </w:pPr>
      <w:r w:rsidRPr="00344BBB">
        <w:rPr>
          <w:sz w:val="24"/>
          <w:szCs w:val="24"/>
        </w:rPr>
        <w:t>Scenario 1 - Formula-based payment (just income linked)</w:t>
      </w:r>
      <w:r w:rsidR="00105230" w:rsidRPr="00344BBB">
        <w:rPr>
          <w:sz w:val="24"/>
          <w:szCs w:val="24"/>
        </w:rPr>
        <w:t xml:space="preserve">. </w:t>
      </w:r>
      <w:r w:rsidRPr="00344BBB">
        <w:rPr>
          <w:sz w:val="24"/>
          <w:szCs w:val="24"/>
        </w:rPr>
        <w:t xml:space="preserve">Scenario 2 - Formula-based payment, income-linked plus </w:t>
      </w:r>
      <w:r w:rsidR="2A24C437" w:rsidRPr="00344BBB">
        <w:rPr>
          <w:sz w:val="24"/>
          <w:szCs w:val="24"/>
        </w:rPr>
        <w:t xml:space="preserve">£100 </w:t>
      </w:r>
      <w:r w:rsidRPr="00344BBB">
        <w:rPr>
          <w:sz w:val="24"/>
          <w:szCs w:val="24"/>
        </w:rPr>
        <w:t>booster for standard credit customers, and per adult claiming PIP/ESA/DLA/AA/CA</w:t>
      </w:r>
      <w:r w:rsidR="00105230" w:rsidRPr="00344BBB">
        <w:rPr>
          <w:sz w:val="24"/>
          <w:szCs w:val="24"/>
        </w:rPr>
        <w:t xml:space="preserve">. </w:t>
      </w:r>
      <w:r w:rsidRPr="00344BBB">
        <w:rPr>
          <w:sz w:val="24"/>
          <w:szCs w:val="24"/>
        </w:rPr>
        <w:t xml:space="preserve">Scenario 3 - Formula-based payment, income-linked plus </w:t>
      </w:r>
      <w:r w:rsidR="4F2AA3A3" w:rsidRPr="00344BBB">
        <w:rPr>
          <w:sz w:val="24"/>
          <w:szCs w:val="24"/>
        </w:rPr>
        <w:t xml:space="preserve">£100 </w:t>
      </w:r>
      <w:r w:rsidRPr="00344BBB">
        <w:rPr>
          <w:sz w:val="24"/>
          <w:szCs w:val="24"/>
        </w:rPr>
        <w:t xml:space="preserve">booster for standard credit customers, and per adult with </w:t>
      </w:r>
      <w:r w:rsidR="6E7F7298" w:rsidRPr="00344BBB">
        <w:rPr>
          <w:sz w:val="24"/>
          <w:szCs w:val="24"/>
        </w:rPr>
        <w:t xml:space="preserve">a disability as defined by the </w:t>
      </w:r>
      <w:r w:rsidRPr="00344BBB">
        <w:rPr>
          <w:sz w:val="24"/>
          <w:szCs w:val="24"/>
        </w:rPr>
        <w:t>Equality Ac</w:t>
      </w:r>
      <w:r w:rsidR="294E3AD3" w:rsidRPr="00344BBB">
        <w:rPr>
          <w:sz w:val="24"/>
          <w:szCs w:val="24"/>
        </w:rPr>
        <w:t>t 2010</w:t>
      </w:r>
    </w:p>
    <w:p w14:paraId="635BE409" w14:textId="5EA0E7C1" w:rsidR="001A5E58" w:rsidRDefault="367B7873">
      <w:pPr>
        <w:rPr>
          <w:sz w:val="28"/>
          <w:szCs w:val="28"/>
        </w:rPr>
      </w:pPr>
      <w:r w:rsidRPr="3C85173F">
        <w:rPr>
          <w:sz w:val="28"/>
          <w:szCs w:val="28"/>
        </w:rPr>
        <w:t xml:space="preserve">For policy-winning households on the lowest income decile, average bill savings would increase from £421 in Scenario 1 to £434 in Scenario 3, as households are more likely to experience multiple factors of vulnerability. By comparison, average bill savings for disabled or </w:t>
      </w:r>
      <w:r w:rsidR="23E1D1F4" w:rsidRPr="3C85173F">
        <w:rPr>
          <w:sz w:val="28"/>
          <w:szCs w:val="28"/>
        </w:rPr>
        <w:t>older</w:t>
      </w:r>
      <w:r w:rsidRPr="3C85173F">
        <w:rPr>
          <w:sz w:val="28"/>
          <w:szCs w:val="28"/>
        </w:rPr>
        <w:t xml:space="preserve"> households</w:t>
      </w:r>
      <w:r w:rsidR="0AA4499B" w:rsidRPr="3C85173F">
        <w:rPr>
          <w:sz w:val="28"/>
          <w:szCs w:val="28"/>
        </w:rPr>
        <w:t xml:space="preserve"> (65+)</w:t>
      </w:r>
      <w:r w:rsidRPr="3C85173F">
        <w:rPr>
          <w:sz w:val="28"/>
          <w:szCs w:val="28"/>
        </w:rPr>
        <w:t xml:space="preserve"> decrease as the policy eligibility widens. This is because more households outside of the income threshold become eligible for just the £100 booster payment, bringing down the overall average.</w:t>
      </w:r>
      <w:r w:rsidR="685EA5F7" w:rsidRPr="3C85173F">
        <w:rPr>
          <w:sz w:val="28"/>
          <w:szCs w:val="28"/>
        </w:rPr>
        <w:t xml:space="preserve"> </w:t>
      </w:r>
      <w:r w:rsidR="759EE43F" w:rsidRPr="3C85173F">
        <w:rPr>
          <w:sz w:val="28"/>
          <w:szCs w:val="28"/>
        </w:rPr>
        <w:t>The savings modelled account for the costs of a bill</w:t>
      </w:r>
      <w:r w:rsidR="141A7CE6" w:rsidRPr="3C85173F">
        <w:rPr>
          <w:sz w:val="28"/>
          <w:szCs w:val="28"/>
        </w:rPr>
        <w:t>-</w:t>
      </w:r>
      <w:r w:rsidR="759EE43F" w:rsidRPr="3C85173F">
        <w:rPr>
          <w:sz w:val="28"/>
          <w:szCs w:val="28"/>
        </w:rPr>
        <w:t xml:space="preserve">funded policy to </w:t>
      </w:r>
      <w:r w:rsidR="5CE56986" w:rsidRPr="3C85173F">
        <w:rPr>
          <w:sz w:val="28"/>
          <w:szCs w:val="28"/>
        </w:rPr>
        <w:t>provide a guide for the possible net benefit – these savings would be higher if the policy were to be funded by government or a mixed approach.</w:t>
      </w:r>
    </w:p>
    <w:p w14:paraId="5F9A2B02" w14:textId="387DEBAE" w:rsidR="3C85173F" w:rsidRDefault="3C85173F" w:rsidP="3C85173F">
      <w:pPr>
        <w:rPr>
          <w:b/>
          <w:bCs/>
          <w:sz w:val="28"/>
          <w:szCs w:val="28"/>
        </w:rPr>
      </w:pPr>
    </w:p>
    <w:p w14:paraId="3201EFEE" w14:textId="77777777" w:rsidR="00105230" w:rsidRDefault="00105230">
      <w:pPr>
        <w:rPr>
          <w:b/>
          <w:bCs/>
          <w:sz w:val="28"/>
          <w:szCs w:val="28"/>
        </w:rPr>
      </w:pPr>
    </w:p>
    <w:p w14:paraId="5748083B" w14:textId="7582B25F" w:rsidR="001A5E58" w:rsidRDefault="5B43EAB0">
      <w:pPr>
        <w:rPr>
          <w:sz w:val="28"/>
          <w:szCs w:val="28"/>
        </w:rPr>
      </w:pPr>
      <w:r w:rsidRPr="1A6DFC8B">
        <w:rPr>
          <w:b/>
          <w:bCs/>
          <w:sz w:val="28"/>
          <w:szCs w:val="28"/>
        </w:rPr>
        <w:lastRenderedPageBreak/>
        <w:t>Figure 1</w:t>
      </w:r>
      <w:r w:rsidR="2F4650BC" w:rsidRPr="1A6DFC8B">
        <w:rPr>
          <w:b/>
          <w:bCs/>
          <w:sz w:val="28"/>
          <w:szCs w:val="28"/>
        </w:rPr>
        <w:t>5</w:t>
      </w:r>
      <w:r w:rsidRPr="1A6DFC8B">
        <w:rPr>
          <w:b/>
          <w:bCs/>
          <w:sz w:val="28"/>
          <w:szCs w:val="28"/>
        </w:rPr>
        <w:t xml:space="preserve">: Average savings increase for households facing multiple affordability challenges. </w:t>
      </w:r>
      <w:r w:rsidRPr="00344BBB">
        <w:rPr>
          <w:sz w:val="28"/>
          <w:szCs w:val="28"/>
        </w:rPr>
        <w:t xml:space="preserve">Change in annual energy bill (£) for policy winners of three formula-based payment discount scenarios, </w:t>
      </w:r>
      <w:r w:rsidR="29A0F8AC" w:rsidRPr="00344BBB">
        <w:rPr>
          <w:sz w:val="28"/>
          <w:szCs w:val="28"/>
        </w:rPr>
        <w:t xml:space="preserve">by non-mutually exclusive variables of </w:t>
      </w:r>
      <w:r w:rsidRPr="00344BBB">
        <w:rPr>
          <w:sz w:val="28"/>
          <w:szCs w:val="28"/>
        </w:rPr>
        <w:t>disposable income decile, disability status, and age</w:t>
      </w:r>
      <w:r w:rsidR="4DE48EBB" w:rsidRPr="00344BBB">
        <w:rPr>
          <w:sz w:val="28"/>
          <w:szCs w:val="28"/>
        </w:rPr>
        <w:t>, GB</w:t>
      </w:r>
      <w:r w:rsidRPr="00344BBB">
        <w:rPr>
          <w:sz w:val="28"/>
          <w:szCs w:val="28"/>
        </w:rPr>
        <w:t>.</w:t>
      </w:r>
    </w:p>
    <w:p w14:paraId="0170ACE8" w14:textId="6D546EA2" w:rsidR="001A5E58" w:rsidRDefault="00464EDD">
      <w:r>
        <w:rPr>
          <w:noProof/>
        </w:rPr>
        <w:drawing>
          <wp:inline distT="0" distB="0" distL="0" distR="0" wp14:anchorId="37CA23DF" wp14:editId="724B7F78">
            <wp:extent cx="6479540" cy="4015105"/>
            <wp:effectExtent l="0" t="0" r="0" b="0"/>
            <wp:docPr id="950310341" name="Picture 13" descr="Bar chart showing average bill savings for policy winners under three formula-based scenarios. For the lowest income decile, savings increase from £421 in Scenario 1 to £434 in Scenario 3. Disabled and older households see slightly lower average savings as eligibility widens, because more higher-income households qualify for smaller booster payments. The figure illustrates that widening eligibility redistributes savings but still increases benefits for the most vulnerable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10341" name="Picture 13" descr="Bar chart showing average bill savings for policy winners under three formula-based scenarios. For the lowest income decile, savings increase from £421 in Scenario 1 to £434 in Scenario 3. Disabled and older households see slightly lower average savings as eligibility widens, because more higher-income households qualify for smaller booster payments. The figure illustrates that widening eligibility redistributes savings but still increases benefits for the most vulnerable custom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p>
    <w:p w14:paraId="5AA60238" w14:textId="77777777" w:rsidR="001A5E58" w:rsidRPr="00344BBB" w:rsidRDefault="367B7873">
      <w:pPr>
        <w:spacing w:before="200" w:after="120" w:line="348" w:lineRule="auto"/>
        <w:rPr>
          <w:sz w:val="24"/>
          <w:szCs w:val="24"/>
        </w:rPr>
      </w:pPr>
      <w:r w:rsidRPr="00344BBB">
        <w:rPr>
          <w:sz w:val="24"/>
          <w:szCs w:val="24"/>
        </w:rPr>
        <w:t>Source: Public First analysis of Living Cost and Food Survey (2022/23) uprated for 2025</w:t>
      </w:r>
    </w:p>
    <w:p w14:paraId="2DAFF231" w14:textId="03F2FC90" w:rsidR="001A5E58" w:rsidRPr="00344BBB" w:rsidRDefault="39929049" w:rsidP="3C85173F">
      <w:pPr>
        <w:spacing w:line="259" w:lineRule="auto"/>
        <w:rPr>
          <w:sz w:val="24"/>
          <w:szCs w:val="24"/>
        </w:rPr>
      </w:pPr>
      <w:r w:rsidRPr="00344BBB">
        <w:rPr>
          <w:sz w:val="24"/>
          <w:szCs w:val="24"/>
        </w:rPr>
        <w:t xml:space="preserve">Note: </w:t>
      </w:r>
      <w:r w:rsidR="59C24565" w:rsidRPr="00344BBB">
        <w:rPr>
          <w:sz w:val="24"/>
          <w:szCs w:val="24"/>
        </w:rPr>
        <w:t>Scenario 1 - Formula-based payment (just income linked)</w:t>
      </w:r>
      <w:r w:rsidR="1F719840" w:rsidRPr="00344BBB">
        <w:rPr>
          <w:sz w:val="24"/>
          <w:szCs w:val="24"/>
        </w:rPr>
        <w:t xml:space="preserve">. </w:t>
      </w:r>
      <w:r w:rsidR="59C24565" w:rsidRPr="00344BBB">
        <w:rPr>
          <w:sz w:val="24"/>
          <w:szCs w:val="24"/>
        </w:rPr>
        <w:t>Scenario 2 - Formula-based payment, income-linked plus £100 booster for standard credit customers, and per adult claiming PIP/ESA/DLA/AA/CA</w:t>
      </w:r>
      <w:r w:rsidR="3241AD7B" w:rsidRPr="00344BBB">
        <w:rPr>
          <w:sz w:val="24"/>
          <w:szCs w:val="24"/>
        </w:rPr>
        <w:t xml:space="preserve">. </w:t>
      </w:r>
      <w:r w:rsidR="59C24565" w:rsidRPr="00344BBB">
        <w:rPr>
          <w:sz w:val="24"/>
          <w:szCs w:val="24"/>
        </w:rPr>
        <w:t>Scenario 3 - Formula-based payment, income-linked plus £100 booster for standard credit customers, and per adult with a disability as defined by the Equality Act</w:t>
      </w:r>
      <w:r w:rsidR="3F1E9422" w:rsidRPr="00344BBB">
        <w:rPr>
          <w:sz w:val="24"/>
          <w:szCs w:val="24"/>
        </w:rPr>
        <w:t xml:space="preserve"> 2010</w:t>
      </w:r>
    </w:p>
    <w:p w14:paraId="6414D2F0" w14:textId="7007D90F" w:rsidR="367B7873" w:rsidRDefault="367B7873" w:rsidP="3C85173F">
      <w:pPr>
        <w:rPr>
          <w:sz w:val="28"/>
          <w:szCs w:val="28"/>
        </w:rPr>
      </w:pPr>
      <w:r w:rsidRPr="3C85173F">
        <w:rPr>
          <w:sz w:val="28"/>
          <w:szCs w:val="28"/>
        </w:rPr>
        <w:t>Widening the eligibility of the support scheme increases the policy cost, which has negative distributional impacts if the scheme were to be bill-funded. Scenario 1 offers the flattest distribution, with comparatively small but still significant annual bill increases across the board, resulting in an average bill increase of £80 a year. Scenario 3 delivers the highest increase in energy bills across all groups, with an average increase of £107 for policy losers, including significant increases for non-disabled households and those in the upper income deciles, as well as younger households. Scenario 2 sees higher average cost increases than Scenario 1, averaging £89, but does not reach the heights of the costs seen in Scenario 3. Similarly to Scenario 3, though, the biggest losers in Scenario 2 are non-disabled people and people in the upper-income deciles.</w:t>
      </w:r>
    </w:p>
    <w:p w14:paraId="3C2B7F1B" w14:textId="25A2EABA" w:rsidR="3C85173F" w:rsidRDefault="3C85173F" w:rsidP="3C85173F">
      <w:pPr>
        <w:rPr>
          <w:sz w:val="28"/>
          <w:szCs w:val="28"/>
        </w:rPr>
      </w:pPr>
    </w:p>
    <w:p w14:paraId="4100D1BD" w14:textId="52976149" w:rsidR="001A5E58" w:rsidRDefault="3299063D" w:rsidP="1A6DFC8B">
      <w:pPr>
        <w:rPr>
          <w:i/>
          <w:iCs/>
          <w:sz w:val="24"/>
          <w:szCs w:val="24"/>
        </w:rPr>
      </w:pPr>
      <w:r w:rsidRPr="1A6DFC8B">
        <w:rPr>
          <w:b/>
          <w:bCs/>
          <w:sz w:val="28"/>
          <w:szCs w:val="28"/>
        </w:rPr>
        <w:lastRenderedPageBreak/>
        <w:t>Figure 1</w:t>
      </w:r>
      <w:r w:rsidR="2F4650BC" w:rsidRPr="1A6DFC8B">
        <w:rPr>
          <w:b/>
          <w:bCs/>
          <w:sz w:val="28"/>
          <w:szCs w:val="28"/>
        </w:rPr>
        <w:t>6</w:t>
      </w:r>
      <w:r w:rsidRPr="1A6DFC8B">
        <w:rPr>
          <w:b/>
          <w:bCs/>
          <w:sz w:val="28"/>
          <w:szCs w:val="28"/>
        </w:rPr>
        <w:t xml:space="preserve">: Widening the eligibility of a support scheme increases costs for households in nearly all billpayer groups. </w:t>
      </w:r>
      <w:r w:rsidRPr="00344BBB">
        <w:rPr>
          <w:sz w:val="28"/>
          <w:szCs w:val="28"/>
        </w:rPr>
        <w:t>Change in annual energy bill (£) for policy losers of three formula-based payment discount scenarios,</w:t>
      </w:r>
      <w:r w:rsidR="29A0F8AC" w:rsidRPr="00344BBB">
        <w:rPr>
          <w:sz w:val="28"/>
          <w:szCs w:val="28"/>
        </w:rPr>
        <w:t xml:space="preserve"> by non-mutually exclusive variables of </w:t>
      </w:r>
      <w:r w:rsidRPr="00344BBB">
        <w:rPr>
          <w:sz w:val="28"/>
          <w:szCs w:val="28"/>
        </w:rPr>
        <w:t>disposable income decile, disability status, and age</w:t>
      </w:r>
      <w:r w:rsidR="612ADE28" w:rsidRPr="00344BBB">
        <w:rPr>
          <w:sz w:val="28"/>
          <w:szCs w:val="28"/>
        </w:rPr>
        <w:t>, GB</w:t>
      </w:r>
      <w:r w:rsidRPr="00344BBB">
        <w:rPr>
          <w:sz w:val="28"/>
          <w:szCs w:val="28"/>
        </w:rPr>
        <w:t>.</w:t>
      </w:r>
    </w:p>
    <w:p w14:paraId="577B0591" w14:textId="465298CB" w:rsidR="001A5E58" w:rsidRDefault="00306085" w:rsidP="7E2D8D79">
      <w:pPr>
        <w:spacing w:before="200" w:after="120" w:line="348" w:lineRule="auto"/>
      </w:pPr>
      <w:r>
        <w:rPr>
          <w:noProof/>
        </w:rPr>
        <w:drawing>
          <wp:inline distT="0" distB="0" distL="0" distR="0" wp14:anchorId="42741A40" wp14:editId="3F890E60">
            <wp:extent cx="6479540" cy="4015105"/>
            <wp:effectExtent l="0" t="0" r="0" b="0"/>
            <wp:docPr id="1249297155" name="Picture 14" descr="Bar chart showing average bill increases for policy losers under three formula-based scenarios. Scenario 1 (income-only) has the lowest increase, about £80 annually. Scenario 2 (with benefit-linked boosters) averages £89. Scenario 3 (broad Equality Act disability boosters) has the highest, at £107 annually. Costs rise across nearly all demographic groups, with non-disabled households and higher-income deciles most af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7155" name="Picture 14" descr="Bar chart showing average bill increases for policy losers under three formula-based scenarios. Scenario 1 (income-only) has the lowest increase, about £80 annually. Scenario 2 (with benefit-linked boosters) averages £89. Scenario 3 (broad Equality Act disability boosters) has the highest, at £107 annually. Costs rise across nearly all demographic groups, with non-disabled households and higher-income deciles most affec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40" cy="4015105"/>
                    </a:xfrm>
                    <a:prstGeom prst="rect">
                      <a:avLst/>
                    </a:prstGeom>
                    <a:noFill/>
                    <a:ln>
                      <a:noFill/>
                    </a:ln>
                  </pic:spPr>
                </pic:pic>
              </a:graphicData>
            </a:graphic>
          </wp:inline>
        </w:drawing>
      </w:r>
    </w:p>
    <w:p w14:paraId="25917793" w14:textId="77777777" w:rsidR="001A5E58" w:rsidRPr="00344BBB" w:rsidRDefault="367B7873">
      <w:pPr>
        <w:spacing w:before="200" w:after="120" w:line="348" w:lineRule="auto"/>
        <w:rPr>
          <w:sz w:val="24"/>
          <w:szCs w:val="24"/>
        </w:rPr>
      </w:pPr>
      <w:r w:rsidRPr="00344BBB">
        <w:rPr>
          <w:sz w:val="24"/>
          <w:szCs w:val="24"/>
        </w:rPr>
        <w:t>Source: Public First analysis of Living Cost and Food Survey (2022/23) uprated for 2025</w:t>
      </w:r>
    </w:p>
    <w:p w14:paraId="7B2F518F" w14:textId="1C404487" w:rsidR="001A5E58" w:rsidRPr="00344BBB" w:rsidRDefault="2A6F517A" w:rsidP="3C85173F">
      <w:pPr>
        <w:spacing w:line="259" w:lineRule="auto"/>
        <w:rPr>
          <w:sz w:val="24"/>
          <w:szCs w:val="24"/>
        </w:rPr>
      </w:pPr>
      <w:r w:rsidRPr="00344BBB">
        <w:rPr>
          <w:sz w:val="24"/>
          <w:szCs w:val="24"/>
        </w:rPr>
        <w:t xml:space="preserve">Note: </w:t>
      </w:r>
      <w:r w:rsidR="2B6BC98C" w:rsidRPr="00344BBB">
        <w:rPr>
          <w:sz w:val="24"/>
          <w:szCs w:val="24"/>
        </w:rPr>
        <w:t>Scenario 1 - Formula-based payment (just income linked)</w:t>
      </w:r>
      <w:r w:rsidR="3119BFCE" w:rsidRPr="00344BBB">
        <w:rPr>
          <w:sz w:val="24"/>
          <w:szCs w:val="24"/>
        </w:rPr>
        <w:t xml:space="preserve">. </w:t>
      </w:r>
      <w:r w:rsidR="2B6BC98C" w:rsidRPr="00344BBB">
        <w:rPr>
          <w:sz w:val="24"/>
          <w:szCs w:val="24"/>
        </w:rPr>
        <w:t>Scenario 2 - Formula-based payment, income-linked plus £100 booster for standard credit customers, and per adult claiming PIP/ESA/DLA/AA/CA</w:t>
      </w:r>
      <w:r w:rsidR="23128FDB" w:rsidRPr="00344BBB">
        <w:rPr>
          <w:sz w:val="24"/>
          <w:szCs w:val="24"/>
        </w:rPr>
        <w:t xml:space="preserve">. </w:t>
      </w:r>
      <w:r w:rsidR="2B6BC98C" w:rsidRPr="00344BBB">
        <w:rPr>
          <w:sz w:val="24"/>
          <w:szCs w:val="24"/>
        </w:rPr>
        <w:t>Scenario 3 - Formula-based payment, income-linked plus £100 booster for standard credit customers, and per adult with a disability as defined by the Equality Act</w:t>
      </w:r>
      <w:r w:rsidR="07BB855A" w:rsidRPr="00344BBB">
        <w:rPr>
          <w:sz w:val="24"/>
          <w:szCs w:val="24"/>
        </w:rPr>
        <w:t xml:space="preserve"> 2010</w:t>
      </w:r>
    </w:p>
    <w:p w14:paraId="4EB5652A" w14:textId="1A3DFE5A" w:rsidR="001A5E58" w:rsidRPr="00A4313C" w:rsidRDefault="5B43EAB0" w:rsidP="1A6DFC8B">
      <w:pPr>
        <w:pStyle w:val="Heading3"/>
        <w:rPr>
          <w:color w:val="3275C8"/>
          <w:sz w:val="24"/>
          <w:szCs w:val="24"/>
        </w:rPr>
      </w:pPr>
      <w:bookmarkStart w:id="24" w:name="_5nfzim3l1xej"/>
      <w:bookmarkEnd w:id="24"/>
      <w:r w:rsidRPr="00A4313C">
        <w:rPr>
          <w:color w:val="3275C8"/>
          <w:sz w:val="32"/>
          <w:szCs w:val="32"/>
        </w:rPr>
        <w:t>Who pays?</w:t>
      </w:r>
    </w:p>
    <w:p w14:paraId="1FF6D80C" w14:textId="77777777" w:rsidR="001A5E58" w:rsidRDefault="00F84F72">
      <w:pPr>
        <w:spacing w:before="240" w:after="240"/>
        <w:rPr>
          <w:sz w:val="28"/>
          <w:szCs w:val="28"/>
        </w:rPr>
      </w:pPr>
      <w:r>
        <w:rPr>
          <w:sz w:val="28"/>
          <w:szCs w:val="28"/>
        </w:rPr>
        <w:t>Deciding how targeted bill support is funded is politically and economically challenging given the current constraints on government and household finances with real consequences for fairness and public support. Meanwhile, the cost of energy bills continues to be a key issue for voters, putting pressure on the government to take urgent action on affordability. This report considers three main options: funding through billpayers, government taxation, or industry-led initiatives.</w:t>
      </w:r>
    </w:p>
    <w:p w14:paraId="5BCB0B64" w14:textId="771B96C5" w:rsidR="001A5E58" w:rsidRDefault="1536D120">
      <w:pPr>
        <w:numPr>
          <w:ilvl w:val="0"/>
          <w:numId w:val="28"/>
        </w:numPr>
        <w:spacing w:before="240"/>
        <w:rPr>
          <w:sz w:val="28"/>
          <w:szCs w:val="28"/>
        </w:rPr>
      </w:pPr>
      <w:r w:rsidRPr="7E2D8D79">
        <w:rPr>
          <w:b/>
          <w:bCs/>
          <w:sz w:val="28"/>
          <w:szCs w:val="28"/>
        </w:rPr>
        <w:t>A billpayer-funded approach</w:t>
      </w:r>
      <w:r w:rsidRPr="7E2D8D79">
        <w:rPr>
          <w:sz w:val="28"/>
          <w:szCs w:val="28"/>
        </w:rPr>
        <w:t xml:space="preserve"> is currently how the WHD is paid for. While it may seem administratively straightforward and avoid drawing on public finances, it introduces serious equity concerns. As this report sets out, a bill-</w:t>
      </w:r>
      <w:r w:rsidRPr="7E2D8D79">
        <w:rPr>
          <w:sz w:val="28"/>
          <w:szCs w:val="28"/>
        </w:rPr>
        <w:lastRenderedPageBreak/>
        <w:t>funded model would lead to some households across all income levels, age groups, and disability statuses seeing their bills increase to subsidise others. This risks undermining public confidence in the policy and deepening affordability challenges for those who just fall outside the eligibility threshold</w:t>
      </w:r>
      <w:r w:rsidR="00544254">
        <w:rPr>
          <w:sz w:val="28"/>
          <w:szCs w:val="28"/>
        </w:rPr>
        <w:t>. Increasing the threshold will continue to drive policy costs higher</w:t>
      </w:r>
      <w:r w:rsidR="005E08D1">
        <w:rPr>
          <w:sz w:val="28"/>
          <w:szCs w:val="28"/>
        </w:rPr>
        <w:t>, reducing support for beneficiaries and creating new cliff-edges which are unsustainable to address.</w:t>
      </w:r>
    </w:p>
    <w:p w14:paraId="1780DCAA" w14:textId="0C128938" w:rsidR="001A5E58" w:rsidRDefault="4672B29C">
      <w:pPr>
        <w:numPr>
          <w:ilvl w:val="0"/>
          <w:numId w:val="28"/>
        </w:numPr>
        <w:rPr>
          <w:sz w:val="28"/>
          <w:szCs w:val="28"/>
        </w:rPr>
      </w:pPr>
      <w:r w:rsidRPr="3C85173F">
        <w:rPr>
          <w:b/>
          <w:bCs/>
          <w:sz w:val="28"/>
          <w:szCs w:val="28"/>
        </w:rPr>
        <w:t>A g</w:t>
      </w:r>
      <w:r w:rsidR="71E812B3" w:rsidRPr="3C85173F">
        <w:rPr>
          <w:b/>
          <w:bCs/>
          <w:sz w:val="28"/>
          <w:szCs w:val="28"/>
        </w:rPr>
        <w:t>overnment-funded model</w:t>
      </w:r>
      <w:r w:rsidR="71E812B3" w:rsidRPr="3C85173F">
        <w:rPr>
          <w:sz w:val="28"/>
          <w:szCs w:val="28"/>
        </w:rPr>
        <w:t xml:space="preserve"> delivered through general taxation would be more progressive, distributing costs in line with the ability to pay. It avoids compounding existing energy cost burdens and provides a more stable, transparent funding route. However, there are significant political challenges at a time of competing fiscal pressures. </w:t>
      </w:r>
    </w:p>
    <w:p w14:paraId="3C52B9A7" w14:textId="4C71F5D7" w:rsidR="001A5E58" w:rsidRDefault="05954C1C" w:rsidP="3C85173F">
      <w:pPr>
        <w:numPr>
          <w:ilvl w:val="0"/>
          <w:numId w:val="28"/>
        </w:numPr>
        <w:spacing w:before="200" w:after="240"/>
        <w:rPr>
          <w:sz w:val="28"/>
          <w:szCs w:val="28"/>
        </w:rPr>
      </w:pPr>
      <w:r w:rsidRPr="3C85173F">
        <w:rPr>
          <w:b/>
          <w:bCs/>
          <w:sz w:val="28"/>
          <w:szCs w:val="28"/>
        </w:rPr>
        <w:t>An i</w:t>
      </w:r>
      <w:r w:rsidR="71E812B3" w:rsidRPr="3C85173F">
        <w:rPr>
          <w:b/>
          <w:bCs/>
          <w:sz w:val="28"/>
          <w:szCs w:val="28"/>
        </w:rPr>
        <w:t xml:space="preserve">ndustry-led </w:t>
      </w:r>
      <w:r w:rsidR="12C00730" w:rsidRPr="3C85173F">
        <w:rPr>
          <w:b/>
          <w:bCs/>
          <w:sz w:val="28"/>
          <w:szCs w:val="28"/>
        </w:rPr>
        <w:t>m</w:t>
      </w:r>
      <w:r w:rsidR="78E14335" w:rsidRPr="3C85173F">
        <w:rPr>
          <w:b/>
          <w:bCs/>
          <w:sz w:val="28"/>
          <w:szCs w:val="28"/>
        </w:rPr>
        <w:t>odel</w:t>
      </w:r>
      <w:r w:rsidR="71E812B3" w:rsidRPr="3C85173F">
        <w:rPr>
          <w:sz w:val="28"/>
          <w:szCs w:val="28"/>
        </w:rPr>
        <w:t xml:space="preserve"> could </w:t>
      </w:r>
      <w:r w:rsidR="10759329" w:rsidRPr="3C85173F">
        <w:rPr>
          <w:sz w:val="28"/>
          <w:szCs w:val="28"/>
        </w:rPr>
        <w:t>provide funding but would ultimately still be recouped by customers through their energy bills.</w:t>
      </w:r>
      <w:r w:rsidR="37A6D5E0" w:rsidRPr="3C85173F">
        <w:rPr>
          <w:sz w:val="28"/>
          <w:szCs w:val="28"/>
        </w:rPr>
        <w:t xml:space="preserve"> </w:t>
      </w:r>
      <w:r w:rsidR="37B56D5A" w:rsidRPr="3C85173F">
        <w:rPr>
          <w:sz w:val="28"/>
          <w:szCs w:val="28"/>
        </w:rPr>
        <w:t>Further, where suppliers have committed funding, it is largely focused on debt relief, given the</w:t>
      </w:r>
      <w:r w:rsidR="34E631A2" w:rsidRPr="3C85173F">
        <w:rPr>
          <w:sz w:val="28"/>
          <w:szCs w:val="28"/>
        </w:rPr>
        <w:t xml:space="preserve"> scale of arrears totalling £4.15bn in Q1 2025.</w:t>
      </w:r>
    </w:p>
    <w:p w14:paraId="727B51B7" w14:textId="2497346A" w:rsidR="001A5E58" w:rsidRDefault="497E5335" w:rsidP="3C85173F">
      <w:pPr>
        <w:spacing w:before="240" w:after="240"/>
        <w:rPr>
          <w:sz w:val="28"/>
          <w:szCs w:val="28"/>
        </w:rPr>
      </w:pPr>
      <w:r w:rsidRPr="1A6DFC8B">
        <w:rPr>
          <w:sz w:val="28"/>
          <w:szCs w:val="28"/>
        </w:rPr>
        <w:t>An entirely-government-funded bill discount scheme is preferable, as it is more progressive through the tax system than on bills. However, fiscal constraints on public expenditure limit the potential size, generosity and viability of a targeted bill</w:t>
      </w:r>
      <w:r w:rsidR="0ADDD0DB" w:rsidRPr="1A6DFC8B">
        <w:rPr>
          <w:sz w:val="28"/>
          <w:szCs w:val="28"/>
        </w:rPr>
        <w:t xml:space="preserve"> </w:t>
      </w:r>
      <w:r w:rsidRPr="1A6DFC8B">
        <w:rPr>
          <w:sz w:val="28"/>
          <w:szCs w:val="28"/>
        </w:rPr>
        <w:t>support scheme. As such, policymakers could consider a mixed funding approach, part-funded through taxpayers and billpayers.</w:t>
      </w:r>
    </w:p>
    <w:p w14:paraId="7FFAC4B3" w14:textId="77777777" w:rsidR="001A5E58" w:rsidRDefault="00F84F72">
      <w:pPr>
        <w:rPr>
          <w:sz w:val="28"/>
          <w:szCs w:val="28"/>
        </w:rPr>
      </w:pPr>
      <w:r>
        <w:br w:type="page"/>
      </w:r>
    </w:p>
    <w:p w14:paraId="52590488" w14:textId="6482B17B" w:rsidR="001A5E58" w:rsidRDefault="367B7873">
      <w:pPr>
        <w:pStyle w:val="Heading1"/>
        <w:ind w:left="0" w:firstLine="0"/>
      </w:pPr>
      <w:bookmarkStart w:id="25" w:name="_Toc202861066"/>
      <w:r>
        <w:lastRenderedPageBreak/>
        <w:t xml:space="preserve">04 </w:t>
      </w:r>
      <w:r w:rsidR="655C2CF6">
        <w:t>Improving the system for bill support</w:t>
      </w:r>
      <w:bookmarkEnd w:id="25"/>
    </w:p>
    <w:p w14:paraId="3C0FB8D6" w14:textId="77777777" w:rsidR="001A5E58" w:rsidRDefault="00F84F72">
      <w:pPr>
        <w:rPr>
          <w:sz w:val="28"/>
          <w:szCs w:val="28"/>
        </w:rPr>
      </w:pPr>
      <w:r>
        <w:rPr>
          <w:sz w:val="28"/>
          <w:szCs w:val="28"/>
        </w:rPr>
        <w:t xml:space="preserve">The current system for identifying and assessing households in need of energy affordability support is not fit for purpose. There is a similar case for this across wider utilities, which should be considered, although the focus of this report is on energy. As outlined throughout this report, meaningful targeted bill support must extend to households beyond the existing welfare system. </w:t>
      </w:r>
    </w:p>
    <w:p w14:paraId="4232C501" w14:textId="022113FE" w:rsidR="001A5E58" w:rsidRDefault="71E812B3">
      <w:pPr>
        <w:rPr>
          <w:sz w:val="28"/>
          <w:szCs w:val="28"/>
        </w:rPr>
      </w:pPr>
      <w:r w:rsidRPr="3C85173F">
        <w:rPr>
          <w:sz w:val="28"/>
          <w:szCs w:val="28"/>
        </w:rPr>
        <w:t>An auto-enrolled system for targeted bill support is preferred due to the onus that application-based routes put on households to check their eligibility and apply. This can be particularly onerous for the most in-need</w:t>
      </w:r>
      <w:r w:rsidR="54571C84" w:rsidRPr="3C85173F">
        <w:rPr>
          <w:sz w:val="28"/>
          <w:szCs w:val="28"/>
        </w:rPr>
        <w:t>, such as disabled households.</w:t>
      </w:r>
      <w:r w:rsidRPr="3C85173F">
        <w:rPr>
          <w:sz w:val="28"/>
          <w:szCs w:val="28"/>
        </w:rPr>
        <w:t xml:space="preserve"> Additionally, an opt-out system </w:t>
      </w:r>
      <w:r w:rsidR="372A20A3" w:rsidRPr="3C85173F">
        <w:rPr>
          <w:sz w:val="28"/>
          <w:szCs w:val="28"/>
        </w:rPr>
        <w:t xml:space="preserve">that auto-enrolled all households and relied on able-to-pay households voluntarily </w:t>
      </w:r>
      <w:r w:rsidR="1AE8D9B8" w:rsidRPr="3C85173F">
        <w:rPr>
          <w:sz w:val="28"/>
          <w:szCs w:val="28"/>
        </w:rPr>
        <w:t xml:space="preserve">opting out of support </w:t>
      </w:r>
      <w:r w:rsidRPr="3C85173F">
        <w:rPr>
          <w:sz w:val="28"/>
          <w:szCs w:val="28"/>
        </w:rPr>
        <w:t>would not be fiscally responsible</w:t>
      </w:r>
      <w:r w:rsidR="335537F1" w:rsidRPr="3C85173F">
        <w:rPr>
          <w:sz w:val="28"/>
          <w:szCs w:val="28"/>
        </w:rPr>
        <w:t>. G</w:t>
      </w:r>
      <w:r w:rsidRPr="3C85173F">
        <w:rPr>
          <w:sz w:val="28"/>
          <w:szCs w:val="28"/>
        </w:rPr>
        <w:t>iven the public appetite for cheaper bills amidst the cost of living crisis,</w:t>
      </w:r>
      <w:r w:rsidR="014D3334" w:rsidRPr="3C85173F">
        <w:rPr>
          <w:sz w:val="28"/>
          <w:szCs w:val="28"/>
        </w:rPr>
        <w:t xml:space="preserve"> it is likely that a significant proportion of households would not opt-out, making</w:t>
      </w:r>
      <w:r w:rsidRPr="3C85173F">
        <w:rPr>
          <w:sz w:val="28"/>
          <w:szCs w:val="28"/>
        </w:rPr>
        <w:t xml:space="preserve"> the associated policy costs considerable. </w:t>
      </w:r>
      <w:r w:rsidR="5D315C97" w:rsidRPr="3C85173F">
        <w:rPr>
          <w:sz w:val="28"/>
          <w:szCs w:val="28"/>
        </w:rPr>
        <w:t xml:space="preserve">Below we also explore options for supplementary application-based routes for households </w:t>
      </w:r>
      <w:r w:rsidR="26790D87" w:rsidRPr="3C85173F">
        <w:rPr>
          <w:sz w:val="28"/>
          <w:szCs w:val="28"/>
        </w:rPr>
        <w:t xml:space="preserve">that may be missed through an auto-enrolled </w:t>
      </w:r>
      <w:r w:rsidR="020B77E5" w:rsidRPr="3C85173F">
        <w:rPr>
          <w:sz w:val="28"/>
          <w:szCs w:val="28"/>
        </w:rPr>
        <w:t>system, due to data limitations.</w:t>
      </w:r>
      <w:r w:rsidR="26790D87" w:rsidRPr="3C85173F">
        <w:rPr>
          <w:sz w:val="28"/>
          <w:szCs w:val="28"/>
        </w:rPr>
        <w:t xml:space="preserve"> </w:t>
      </w:r>
    </w:p>
    <w:p w14:paraId="30BC9A58" w14:textId="77777777" w:rsidR="001A5E58" w:rsidRDefault="00F84F72">
      <w:pPr>
        <w:rPr>
          <w:sz w:val="28"/>
          <w:szCs w:val="28"/>
        </w:rPr>
      </w:pPr>
      <w:r>
        <w:rPr>
          <w:sz w:val="28"/>
          <w:szCs w:val="28"/>
        </w:rPr>
        <w:t>Achieving auto-enrolled, income-targeted bill support for households with high energy needs - especially those outside the welfare system - demands a step change from the government. It means overcoming old challenges and developing new mechanisms that cut across departments, energy suppliers, and public services. Success will depend on coordination, data-sharing, and a clear commitment to proactive delivery.</w:t>
      </w:r>
    </w:p>
    <w:p w14:paraId="0658D750" w14:textId="190E09E6" w:rsidR="001A5E58" w:rsidRDefault="71E812B3" w:rsidP="3C85173F">
      <w:pPr>
        <w:spacing w:line="259" w:lineRule="auto"/>
        <w:rPr>
          <w:sz w:val="28"/>
          <w:szCs w:val="28"/>
        </w:rPr>
      </w:pPr>
      <w:r>
        <w:rPr>
          <w:sz w:val="28"/>
          <w:szCs w:val="28"/>
        </w:rPr>
        <w:t>The authors of this report recommended similar action in 2023</w:t>
      </w:r>
      <w:r w:rsidR="00F84F72">
        <w:rPr>
          <w:sz w:val="28"/>
          <w:szCs w:val="28"/>
          <w:vertAlign w:val="superscript"/>
        </w:rPr>
        <w:footnoteReference w:id="30"/>
      </w:r>
      <w:r>
        <w:rPr>
          <w:sz w:val="28"/>
          <w:szCs w:val="28"/>
        </w:rPr>
        <w:t>, following the government’s £44bn programme of energy support schemes.</w:t>
      </w:r>
      <w:r w:rsidR="00F84F72">
        <w:rPr>
          <w:sz w:val="28"/>
          <w:szCs w:val="28"/>
          <w:vertAlign w:val="superscript"/>
        </w:rPr>
        <w:footnoteReference w:id="31"/>
      </w:r>
      <w:r>
        <w:rPr>
          <w:sz w:val="28"/>
          <w:szCs w:val="28"/>
        </w:rPr>
        <w:t xml:space="preserve"> Since then, </w:t>
      </w:r>
      <w:r w:rsidR="27D7E14C">
        <w:rPr>
          <w:sz w:val="28"/>
          <w:szCs w:val="28"/>
        </w:rPr>
        <w:t>c</w:t>
      </w:r>
      <w:r>
        <w:rPr>
          <w:sz w:val="28"/>
          <w:szCs w:val="28"/>
        </w:rPr>
        <w:t xml:space="preserve">ross-departmental initiatives to improve data </w:t>
      </w:r>
      <w:r w:rsidR="497D3ABA" w:rsidRPr="3C85173F">
        <w:rPr>
          <w:sz w:val="28"/>
          <w:szCs w:val="28"/>
        </w:rPr>
        <w:t xml:space="preserve">matching </w:t>
      </w:r>
      <w:r>
        <w:rPr>
          <w:sz w:val="28"/>
          <w:szCs w:val="28"/>
        </w:rPr>
        <w:t>have made little progress</w:t>
      </w:r>
      <w:r w:rsidR="0774E43E">
        <w:rPr>
          <w:sz w:val="28"/>
          <w:szCs w:val="28"/>
        </w:rPr>
        <w:t xml:space="preserve">, in part due to a change of government, a lack of political will, and various legislative </w:t>
      </w:r>
      <w:r w:rsidR="0774E43E">
        <w:rPr>
          <w:sz w:val="28"/>
          <w:szCs w:val="28"/>
        </w:rPr>
        <w:lastRenderedPageBreak/>
        <w:t>and bureaucratic blockers.</w:t>
      </w:r>
      <w:r>
        <w:rPr>
          <w:sz w:val="28"/>
          <w:szCs w:val="28"/>
        </w:rPr>
        <w:t xml:space="preserve"> </w:t>
      </w:r>
      <w:r w:rsidR="1CE220B3">
        <w:rPr>
          <w:sz w:val="28"/>
          <w:szCs w:val="28"/>
        </w:rPr>
        <w:t xml:space="preserve">The work required </w:t>
      </w:r>
      <w:r w:rsidR="3689E182">
        <w:rPr>
          <w:sz w:val="28"/>
          <w:szCs w:val="28"/>
        </w:rPr>
        <w:t xml:space="preserve">to improve </w:t>
      </w:r>
      <w:r w:rsidR="6447F76C" w:rsidRPr="3C85173F">
        <w:rPr>
          <w:sz w:val="28"/>
          <w:szCs w:val="28"/>
        </w:rPr>
        <w:t xml:space="preserve">data matching </w:t>
      </w:r>
      <w:r w:rsidR="1CE220B3">
        <w:rPr>
          <w:sz w:val="28"/>
          <w:szCs w:val="28"/>
        </w:rPr>
        <w:t xml:space="preserve">will </w:t>
      </w:r>
      <w:r w:rsidR="16F52877" w:rsidRPr="3C85173F">
        <w:rPr>
          <w:sz w:val="28"/>
          <w:szCs w:val="28"/>
        </w:rPr>
        <w:t>take time</w:t>
      </w:r>
      <w:r w:rsidR="237F71D5" w:rsidRPr="3C85173F">
        <w:rPr>
          <w:sz w:val="28"/>
          <w:szCs w:val="28"/>
        </w:rPr>
        <w:t xml:space="preserve"> </w:t>
      </w:r>
      <w:r w:rsidR="1F1AB19F" w:rsidRPr="3C85173F">
        <w:rPr>
          <w:sz w:val="28"/>
          <w:szCs w:val="28"/>
        </w:rPr>
        <w:t xml:space="preserve">(likely two years) </w:t>
      </w:r>
      <w:r w:rsidR="237F71D5" w:rsidRPr="3C85173F">
        <w:rPr>
          <w:sz w:val="28"/>
          <w:szCs w:val="28"/>
        </w:rPr>
        <w:t xml:space="preserve">to build the necessary </w:t>
      </w:r>
      <w:r w:rsidR="7FABABBD" w:rsidRPr="3C85173F">
        <w:rPr>
          <w:sz w:val="28"/>
          <w:szCs w:val="28"/>
        </w:rPr>
        <w:t>infrastructure –</w:t>
      </w:r>
      <w:r w:rsidR="1CE220B3">
        <w:rPr>
          <w:sz w:val="28"/>
          <w:szCs w:val="28"/>
        </w:rPr>
        <w:t xml:space="preserve"> it requires legislative change, n</w:t>
      </w:r>
      <w:r w:rsidR="1F865C80">
        <w:rPr>
          <w:sz w:val="28"/>
          <w:szCs w:val="28"/>
        </w:rPr>
        <w:t>ew cross-departmental processes</w:t>
      </w:r>
      <w:r w:rsidR="5BC22BE0">
        <w:rPr>
          <w:sz w:val="28"/>
          <w:szCs w:val="28"/>
        </w:rPr>
        <w:t>, safeguarding measures,</w:t>
      </w:r>
      <w:r w:rsidR="1F865C80">
        <w:rPr>
          <w:sz w:val="28"/>
          <w:szCs w:val="28"/>
        </w:rPr>
        <w:t xml:space="preserve"> and collaboration between government, suppliers and the regulator. </w:t>
      </w:r>
      <w:r w:rsidR="76DF2DE5">
        <w:rPr>
          <w:sz w:val="28"/>
          <w:szCs w:val="28"/>
        </w:rPr>
        <w:t xml:space="preserve">But this should not dissuade policymakers from </w:t>
      </w:r>
      <w:r w:rsidR="6E070F9A">
        <w:rPr>
          <w:sz w:val="28"/>
          <w:szCs w:val="28"/>
        </w:rPr>
        <w:t>taking swift action. The benefits of improved data matching are clear from this report</w:t>
      </w:r>
      <w:r w:rsidR="52A764BA">
        <w:rPr>
          <w:sz w:val="28"/>
          <w:szCs w:val="28"/>
        </w:rPr>
        <w:t xml:space="preserve"> – </w:t>
      </w:r>
      <w:r w:rsidR="3E4A5429">
        <w:rPr>
          <w:sz w:val="28"/>
          <w:szCs w:val="28"/>
        </w:rPr>
        <w:t xml:space="preserve">enabling policymakers to provide support to </w:t>
      </w:r>
      <w:r w:rsidR="3E4A5429" w:rsidRPr="3C85173F">
        <w:rPr>
          <w:sz w:val="28"/>
          <w:szCs w:val="28"/>
        </w:rPr>
        <w:t xml:space="preserve">vulnerable customers </w:t>
      </w:r>
      <w:r w:rsidR="3E4A5429">
        <w:rPr>
          <w:sz w:val="28"/>
          <w:szCs w:val="28"/>
        </w:rPr>
        <w:t>beyond the welfare system</w:t>
      </w:r>
      <w:r w:rsidR="34D4C63C">
        <w:rPr>
          <w:sz w:val="28"/>
          <w:szCs w:val="28"/>
        </w:rPr>
        <w:t>,</w:t>
      </w:r>
      <w:r w:rsidR="3E4A5429">
        <w:rPr>
          <w:sz w:val="28"/>
          <w:szCs w:val="28"/>
        </w:rPr>
        <w:t xml:space="preserve"> thus better targeting bill discounts and bringing more households out of fuel poverty</w:t>
      </w:r>
      <w:r w:rsidR="1AE0A0D5">
        <w:rPr>
          <w:sz w:val="28"/>
          <w:szCs w:val="28"/>
        </w:rPr>
        <w:t xml:space="preserve">. The benefits also extend beyond direct financial bill support – an improved data matching system would also help to better identify households eligible for energy efficiency upgrades </w:t>
      </w:r>
      <w:r w:rsidR="61AA65C1">
        <w:rPr>
          <w:sz w:val="28"/>
          <w:szCs w:val="28"/>
        </w:rPr>
        <w:t xml:space="preserve">and those who should be on the Priority Services Register. </w:t>
      </w:r>
      <w:r w:rsidR="6F668094" w:rsidRPr="3C85173F">
        <w:rPr>
          <w:sz w:val="28"/>
          <w:szCs w:val="28"/>
        </w:rPr>
        <w:t>This could help reduce suppliers’ administrative costs of finding households, which have increased significantly in recent years for delivery energy efficiency schemes.</w:t>
      </w:r>
      <w:r w:rsidR="3A189319" w:rsidRPr="3C85173F">
        <w:rPr>
          <w:sz w:val="28"/>
          <w:szCs w:val="28"/>
        </w:rPr>
        <w:t xml:space="preserve"> </w:t>
      </w:r>
    </w:p>
    <w:p w14:paraId="044F92AB" w14:textId="53DFD5D4" w:rsidR="001A5E58" w:rsidRDefault="1CE220B3">
      <w:pPr>
        <w:rPr>
          <w:sz w:val="28"/>
          <w:szCs w:val="28"/>
        </w:rPr>
      </w:pPr>
      <w:r w:rsidRPr="29468D37">
        <w:rPr>
          <w:sz w:val="28"/>
          <w:szCs w:val="28"/>
        </w:rPr>
        <w:t>The ending of the WHD in April 2026 should act as a</w:t>
      </w:r>
      <w:r w:rsidR="303B5A1F" w:rsidRPr="29468D37">
        <w:rPr>
          <w:sz w:val="28"/>
          <w:szCs w:val="28"/>
        </w:rPr>
        <w:t xml:space="preserve"> galvanising </w:t>
      </w:r>
      <w:r w:rsidR="12D29802" w:rsidRPr="29468D37">
        <w:rPr>
          <w:sz w:val="28"/>
          <w:szCs w:val="28"/>
        </w:rPr>
        <w:t xml:space="preserve">moment for policymakers </w:t>
      </w:r>
      <w:r w:rsidR="19FC99C2" w:rsidRPr="29468D37">
        <w:rPr>
          <w:sz w:val="28"/>
          <w:szCs w:val="28"/>
        </w:rPr>
        <w:t xml:space="preserve">to ensure that a new, improved targeting system is in place </w:t>
      </w:r>
      <w:r w:rsidR="3E3CC74D" w:rsidRPr="29468D37">
        <w:rPr>
          <w:sz w:val="28"/>
          <w:szCs w:val="28"/>
        </w:rPr>
        <w:t>ahead of Winter 2027</w:t>
      </w:r>
      <w:r w:rsidR="16329BE6" w:rsidRPr="29468D37">
        <w:rPr>
          <w:sz w:val="28"/>
          <w:szCs w:val="28"/>
        </w:rPr>
        <w:t>/28</w:t>
      </w:r>
      <w:r w:rsidR="3E3CC74D" w:rsidRPr="29468D37">
        <w:rPr>
          <w:sz w:val="28"/>
          <w:szCs w:val="28"/>
        </w:rPr>
        <w:t>. Th</w:t>
      </w:r>
      <w:r w:rsidR="55DFBD3F" w:rsidRPr="29468D37">
        <w:rPr>
          <w:sz w:val="28"/>
          <w:szCs w:val="28"/>
        </w:rPr>
        <w:t xml:space="preserve">e section below outlines the challenges that must be overcome over the next two years with recommendations to ensure that timeline is achieved. In the meantime, the WHD should be granted a </w:t>
      </w:r>
      <w:r w:rsidR="2EDD1190" w:rsidRPr="29468D37">
        <w:rPr>
          <w:sz w:val="28"/>
          <w:szCs w:val="28"/>
        </w:rPr>
        <w:t>one</w:t>
      </w:r>
      <w:r w:rsidR="55DFBD3F" w:rsidRPr="29468D37">
        <w:rPr>
          <w:sz w:val="28"/>
          <w:szCs w:val="28"/>
        </w:rPr>
        <w:t>-year extension to</w:t>
      </w:r>
      <w:r w:rsidR="5C50F023" w:rsidRPr="29468D37">
        <w:rPr>
          <w:sz w:val="28"/>
          <w:szCs w:val="28"/>
        </w:rPr>
        <w:t xml:space="preserve"> ensure households do not miss out on much needed support. This chapter also considers what near-term changes should be made to the WHD to ensure it provides </w:t>
      </w:r>
      <w:r w:rsidR="0A026485" w:rsidRPr="29468D37">
        <w:rPr>
          <w:sz w:val="28"/>
          <w:szCs w:val="28"/>
        </w:rPr>
        <w:t>more adequate support for vulnerable customers.</w:t>
      </w:r>
    </w:p>
    <w:p w14:paraId="302EAC93" w14:textId="77777777" w:rsidR="001A5E58" w:rsidRPr="00A4313C" w:rsidRDefault="5A4A5C02" w:rsidP="1A6DFC8B">
      <w:pPr>
        <w:pStyle w:val="Heading3"/>
        <w:rPr>
          <w:color w:val="3275C8"/>
          <w:sz w:val="32"/>
          <w:szCs w:val="32"/>
        </w:rPr>
      </w:pPr>
      <w:bookmarkStart w:id="26" w:name="_r2ojs4db7tps"/>
      <w:bookmarkEnd w:id="26"/>
      <w:r w:rsidRPr="00A4313C">
        <w:rPr>
          <w:color w:val="3275C8"/>
          <w:sz w:val="32"/>
          <w:szCs w:val="32"/>
        </w:rPr>
        <w:t>Unlocking data to find households in need</w:t>
      </w:r>
    </w:p>
    <w:p w14:paraId="099F51B5" w14:textId="677DA4DF" w:rsidR="001A5E58" w:rsidRDefault="1536D120">
      <w:pPr>
        <w:rPr>
          <w:sz w:val="28"/>
          <w:szCs w:val="28"/>
        </w:rPr>
      </w:pPr>
      <w:r w:rsidRPr="7E2D8D79">
        <w:rPr>
          <w:sz w:val="28"/>
          <w:szCs w:val="28"/>
        </w:rPr>
        <w:t>The current process for identifying and assessing households for the Warm Home Discount (WHD) relies on the Department for Work and Pensions’ (DWP) system of reviewing benefits and pension eligibility with data shared from other government departments and energy suppliers. While there are lessons to be learned from th</w:t>
      </w:r>
      <w:r w:rsidR="232C2CC2" w:rsidRPr="7E2D8D79">
        <w:rPr>
          <w:sz w:val="28"/>
          <w:szCs w:val="28"/>
        </w:rPr>
        <w:t>is</w:t>
      </w:r>
      <w:r w:rsidRPr="7E2D8D79">
        <w:rPr>
          <w:sz w:val="28"/>
          <w:szCs w:val="28"/>
        </w:rPr>
        <w:t xml:space="preserve"> process, </w:t>
      </w:r>
      <w:r w:rsidR="0A917585" w:rsidRPr="7E2D8D79">
        <w:rPr>
          <w:sz w:val="28"/>
          <w:szCs w:val="28"/>
        </w:rPr>
        <w:t xml:space="preserve">further steps are required to </w:t>
      </w:r>
      <w:r w:rsidR="47335907" w:rsidRPr="7E2D8D79">
        <w:rPr>
          <w:sz w:val="28"/>
          <w:szCs w:val="28"/>
        </w:rPr>
        <w:t xml:space="preserve">reach </w:t>
      </w:r>
      <w:r w:rsidR="0A917585" w:rsidRPr="7E2D8D79">
        <w:rPr>
          <w:sz w:val="28"/>
          <w:szCs w:val="28"/>
        </w:rPr>
        <w:t xml:space="preserve">households </w:t>
      </w:r>
      <w:r w:rsidR="41AFE0B8" w:rsidRPr="7E2D8D79">
        <w:rPr>
          <w:sz w:val="28"/>
          <w:szCs w:val="28"/>
        </w:rPr>
        <w:t>outside of this system</w:t>
      </w:r>
      <w:r w:rsidR="5ECCD360" w:rsidRPr="7E2D8D79">
        <w:rPr>
          <w:sz w:val="28"/>
          <w:szCs w:val="28"/>
        </w:rPr>
        <w:t xml:space="preserve">. </w:t>
      </w:r>
      <w:r w:rsidR="5DA22910" w:rsidRPr="7E2D8D79">
        <w:rPr>
          <w:sz w:val="28"/>
          <w:szCs w:val="28"/>
        </w:rPr>
        <w:t>There are various institutional, privacy, quality and political challenges to achieving this.</w:t>
      </w:r>
    </w:p>
    <w:p w14:paraId="6290ECB6" w14:textId="7507F91E" w:rsidR="6CEC3458" w:rsidRDefault="6CEC3458" w:rsidP="7E2D8D79">
      <w:pPr>
        <w:spacing w:line="259" w:lineRule="auto"/>
        <w:rPr>
          <w:sz w:val="28"/>
          <w:szCs w:val="28"/>
        </w:rPr>
      </w:pPr>
      <w:r w:rsidRPr="29468D37">
        <w:rPr>
          <w:b/>
          <w:bCs/>
          <w:sz w:val="28"/>
          <w:szCs w:val="28"/>
        </w:rPr>
        <w:t>Data ownership is fragmented across government departments</w:t>
      </w:r>
      <w:r w:rsidR="286217CE" w:rsidRPr="29468D37">
        <w:rPr>
          <w:b/>
          <w:bCs/>
          <w:sz w:val="28"/>
          <w:szCs w:val="28"/>
        </w:rPr>
        <w:t xml:space="preserve"> and suppliers</w:t>
      </w:r>
      <w:r w:rsidRPr="29468D37">
        <w:rPr>
          <w:b/>
          <w:bCs/>
          <w:sz w:val="28"/>
          <w:szCs w:val="28"/>
        </w:rPr>
        <w:t>.</w:t>
      </w:r>
      <w:r w:rsidR="30660449" w:rsidRPr="29468D37">
        <w:rPr>
          <w:b/>
          <w:bCs/>
          <w:sz w:val="28"/>
          <w:szCs w:val="28"/>
        </w:rPr>
        <w:t xml:space="preserve"> </w:t>
      </w:r>
      <w:r w:rsidR="30660449" w:rsidRPr="29468D37">
        <w:rPr>
          <w:sz w:val="28"/>
          <w:szCs w:val="28"/>
        </w:rPr>
        <w:t>There is no single database that captures</w:t>
      </w:r>
      <w:r w:rsidR="3655C7B8" w:rsidRPr="29468D37">
        <w:rPr>
          <w:sz w:val="28"/>
          <w:szCs w:val="28"/>
        </w:rPr>
        <w:t xml:space="preserve"> all the inputs necessary for assessing income, benefits, health</w:t>
      </w:r>
      <w:r w:rsidR="2B414AD4" w:rsidRPr="29468D37">
        <w:rPr>
          <w:sz w:val="28"/>
          <w:szCs w:val="28"/>
        </w:rPr>
        <w:t xml:space="preserve">, energy consumption and payment type. </w:t>
      </w:r>
      <w:r w:rsidR="1103D6CF" w:rsidRPr="29468D37">
        <w:rPr>
          <w:sz w:val="28"/>
          <w:szCs w:val="28"/>
        </w:rPr>
        <w:t xml:space="preserve">HMRC </w:t>
      </w:r>
      <w:r w:rsidR="6D99A3FE" w:rsidRPr="29468D37">
        <w:rPr>
          <w:sz w:val="28"/>
          <w:szCs w:val="28"/>
        </w:rPr>
        <w:t>receive</w:t>
      </w:r>
      <w:r w:rsidR="1103D6CF" w:rsidRPr="29468D37">
        <w:rPr>
          <w:sz w:val="28"/>
          <w:szCs w:val="28"/>
        </w:rPr>
        <w:t>s income data (both PAYE and self-assessment), DWP manages benefits and pension data,</w:t>
      </w:r>
      <w:r w:rsidR="0096519B" w:rsidRPr="29468D37">
        <w:rPr>
          <w:sz w:val="28"/>
          <w:szCs w:val="28"/>
        </w:rPr>
        <w:t xml:space="preserve"> Social Security Scotland,</w:t>
      </w:r>
      <w:r w:rsidR="1103D6CF" w:rsidRPr="29468D37">
        <w:rPr>
          <w:sz w:val="28"/>
          <w:szCs w:val="28"/>
        </w:rPr>
        <w:t xml:space="preserve"> DHSC </w:t>
      </w:r>
      <w:r w:rsidR="6B8536E8" w:rsidRPr="29468D37">
        <w:rPr>
          <w:sz w:val="28"/>
          <w:szCs w:val="28"/>
        </w:rPr>
        <w:t>and the NHS h</w:t>
      </w:r>
      <w:r w:rsidR="37FBFFDF" w:rsidRPr="29468D37">
        <w:rPr>
          <w:sz w:val="28"/>
          <w:szCs w:val="28"/>
        </w:rPr>
        <w:t xml:space="preserve">olds </w:t>
      </w:r>
      <w:r w:rsidR="6B8536E8" w:rsidRPr="29468D37">
        <w:rPr>
          <w:sz w:val="28"/>
          <w:szCs w:val="28"/>
        </w:rPr>
        <w:t xml:space="preserve">health-related data, </w:t>
      </w:r>
      <w:r w:rsidR="2912B310" w:rsidRPr="29468D37">
        <w:rPr>
          <w:sz w:val="28"/>
          <w:szCs w:val="28"/>
        </w:rPr>
        <w:t>while energy suppliers know households consumption levels and how they pay. There is little cross-departmental alignment on sharing this data for purposes beyond the existing WHD process</w:t>
      </w:r>
      <w:r w:rsidR="05630F69" w:rsidRPr="29468D37">
        <w:rPr>
          <w:sz w:val="28"/>
          <w:szCs w:val="28"/>
        </w:rPr>
        <w:t xml:space="preserve">. Even though a framework exists, efforts to share data often stall due to bureaucratic </w:t>
      </w:r>
      <w:r w:rsidR="33E64F14" w:rsidRPr="29468D37">
        <w:rPr>
          <w:sz w:val="28"/>
          <w:szCs w:val="28"/>
        </w:rPr>
        <w:t xml:space="preserve">caution, perceived </w:t>
      </w:r>
      <w:r w:rsidR="380933AF" w:rsidRPr="01B6AD7B">
        <w:rPr>
          <w:sz w:val="28"/>
          <w:szCs w:val="28"/>
        </w:rPr>
        <w:t>legal</w:t>
      </w:r>
      <w:r w:rsidR="33E64F14" w:rsidRPr="29468D37">
        <w:rPr>
          <w:sz w:val="28"/>
          <w:szCs w:val="28"/>
        </w:rPr>
        <w:t xml:space="preserve"> risks or political sensitivities. </w:t>
      </w:r>
    </w:p>
    <w:p w14:paraId="7F2F4249" w14:textId="7378F5EE" w:rsidR="1AB86B42" w:rsidRDefault="1AB86B42" w:rsidP="29468D37">
      <w:pPr>
        <w:spacing w:line="259" w:lineRule="auto"/>
        <w:rPr>
          <w:sz w:val="28"/>
          <w:szCs w:val="28"/>
        </w:rPr>
      </w:pPr>
      <w:r w:rsidRPr="29468D37">
        <w:rPr>
          <w:sz w:val="28"/>
          <w:szCs w:val="28"/>
        </w:rPr>
        <w:lastRenderedPageBreak/>
        <w:t xml:space="preserve">A key challenge is also ensuring officials have the correct skills and resources to ensure a reliable, timely data feed would be sustained between the data processing body and suppliers. </w:t>
      </w:r>
      <w:r w:rsidR="3AD300EA" w:rsidRPr="29468D37">
        <w:rPr>
          <w:sz w:val="28"/>
          <w:szCs w:val="28"/>
        </w:rPr>
        <w:t xml:space="preserve">Departments, suppliers and the regulator should work together from an early stage to consider the role of a third party intermediary and how to manage data flows. Suppliers and DWP officials will be critical in sharing expertise on working with customer and household data, overcoming technical and operational challenges in data flows, and partnering with other departments to support the integration of a new system. </w:t>
      </w:r>
      <w:r w:rsidR="38225E47" w:rsidRPr="29468D37">
        <w:rPr>
          <w:sz w:val="28"/>
          <w:szCs w:val="28"/>
        </w:rPr>
        <w:t>Supplier secondments into the relevant government department or third-party public body could help to smooth this transition process.</w:t>
      </w:r>
      <w:r w:rsidR="53F4A4BE" w:rsidRPr="29468D37">
        <w:rPr>
          <w:sz w:val="28"/>
          <w:szCs w:val="28"/>
        </w:rPr>
        <w:t xml:space="preserve"> </w:t>
      </w:r>
      <w:r w:rsidR="3AD300EA" w:rsidRPr="29468D37">
        <w:rPr>
          <w:sz w:val="28"/>
          <w:szCs w:val="28"/>
        </w:rPr>
        <w:t>This work should be overseen by the existing working group led by the Minister for Energy Consumers.</w:t>
      </w:r>
    </w:p>
    <w:p w14:paraId="228683AA" w14:textId="3C66C6CC" w:rsidR="3AD300EA" w:rsidRDefault="3AD300EA" w:rsidP="29468D37">
      <w:pPr>
        <w:spacing w:line="259" w:lineRule="auto"/>
        <w:rPr>
          <w:sz w:val="28"/>
          <w:szCs w:val="28"/>
        </w:rPr>
      </w:pPr>
      <w:r w:rsidRPr="29468D37">
        <w:rPr>
          <w:sz w:val="28"/>
          <w:szCs w:val="28"/>
        </w:rPr>
        <w:t>As this report shows, income data is widely evidenced as a critical tool for improving targeted bill support, but there has been little progress between departments to share this data for households outside of the welfare system for many of the following reasons.</w:t>
      </w:r>
    </w:p>
    <w:p w14:paraId="0FE24B95" w14:textId="607FE62F" w:rsidR="057A17B9" w:rsidRDefault="497E5335" w:rsidP="3C85173F">
      <w:pPr>
        <w:spacing w:line="259" w:lineRule="auto"/>
        <w:rPr>
          <w:sz w:val="28"/>
          <w:szCs w:val="28"/>
        </w:rPr>
      </w:pPr>
      <w:bookmarkStart w:id="27" w:name="_Hlk204671772"/>
      <w:r w:rsidRPr="1A6DFC8B">
        <w:rPr>
          <w:b/>
          <w:bCs/>
          <w:sz w:val="28"/>
          <w:szCs w:val="28"/>
        </w:rPr>
        <w:t xml:space="preserve">Legal and privacy constraints create political challenges. </w:t>
      </w:r>
      <w:r w:rsidRPr="1A6DFC8B">
        <w:rPr>
          <w:sz w:val="28"/>
          <w:szCs w:val="28"/>
        </w:rPr>
        <w:t>The Digital Economy Act 2017 provides a legal basis for the government to share data, such as income or health, for the purpose of tackling fuel poverty. However, primary legislation would be required to expand the purpose further to include supporting a broader cohort vulnerable customers, such as those who would benefit from being on the Priority Services Register. Given that the government is looking to maximise the benefits of data matching for a multitude of reasons, not just targeted bill support, it is prudent that civil service capacity is concentrated on accelerating a single, robust piece of legislative change that encompasses the remit required, as opposed to diverting resource across multiple primary and secondary legislative changes. If policymakers act swiftly to draft and introduce legislation by the end of 2025, which is passed through parliament within 2026, the government can ensure it has the capability for a targeted bill support package within 18 months to two years.</w:t>
      </w:r>
    </w:p>
    <w:p w14:paraId="265234EC" w14:textId="31EC0A71" w:rsidR="057A17B9" w:rsidRDefault="48819F4E" w:rsidP="7E2D8D79">
      <w:pPr>
        <w:spacing w:line="259" w:lineRule="auto"/>
        <w:rPr>
          <w:sz w:val="28"/>
          <w:szCs w:val="28"/>
        </w:rPr>
      </w:pPr>
      <w:r w:rsidRPr="3C85173F">
        <w:rPr>
          <w:sz w:val="28"/>
          <w:szCs w:val="28"/>
        </w:rPr>
        <w:t>GDPR compliance also remains a concern and risks becoming a wider political debate on privacy. Although ener</w:t>
      </w:r>
      <w:r w:rsidR="3689BFE3" w:rsidRPr="3C85173F">
        <w:rPr>
          <w:sz w:val="28"/>
          <w:szCs w:val="28"/>
        </w:rPr>
        <w:t xml:space="preserve">gy </w:t>
      </w:r>
      <w:r w:rsidRPr="3C85173F">
        <w:rPr>
          <w:sz w:val="28"/>
          <w:szCs w:val="28"/>
        </w:rPr>
        <w:t>suppliers alread</w:t>
      </w:r>
      <w:r w:rsidR="5DA24E03" w:rsidRPr="3C85173F">
        <w:rPr>
          <w:sz w:val="28"/>
          <w:szCs w:val="28"/>
        </w:rPr>
        <w:t>y handle personal, sensitive data, steps should be taken to establish a clear, government-endorsed framework for secure and lawful data use. This framework shou</w:t>
      </w:r>
      <w:r w:rsidR="1C031536" w:rsidRPr="3C85173F">
        <w:rPr>
          <w:sz w:val="28"/>
          <w:szCs w:val="28"/>
        </w:rPr>
        <w:t>ld include either a third-party public body or an existing body, such as DWP, to be the data processor</w:t>
      </w:r>
      <w:r w:rsidR="43017F51" w:rsidRPr="3C85173F">
        <w:rPr>
          <w:sz w:val="28"/>
          <w:szCs w:val="28"/>
        </w:rPr>
        <w:t xml:space="preserve">, assess eligible households, and provide suppliers with the redacted information, including an indicator or flag of eligibility. </w:t>
      </w:r>
      <w:r w:rsidR="74027709" w:rsidRPr="3C85173F">
        <w:rPr>
          <w:sz w:val="28"/>
          <w:szCs w:val="28"/>
        </w:rPr>
        <w:t>Additionally, ensuring a share-once use-often policy between relevant departments and the data processor would enable data to pass</w:t>
      </w:r>
      <w:r w:rsidR="04C74CAD" w:rsidRPr="3C85173F">
        <w:rPr>
          <w:sz w:val="28"/>
          <w:szCs w:val="28"/>
        </w:rPr>
        <w:t xml:space="preserve"> more easily</w:t>
      </w:r>
      <w:r w:rsidR="74027709" w:rsidRPr="3C85173F">
        <w:rPr>
          <w:sz w:val="28"/>
          <w:szCs w:val="28"/>
        </w:rPr>
        <w:t xml:space="preserve"> for </w:t>
      </w:r>
      <w:r w:rsidR="035AD214" w:rsidRPr="3C85173F">
        <w:rPr>
          <w:sz w:val="28"/>
          <w:szCs w:val="28"/>
        </w:rPr>
        <w:t>various</w:t>
      </w:r>
      <w:r w:rsidR="74027709" w:rsidRPr="3C85173F">
        <w:rPr>
          <w:sz w:val="28"/>
          <w:szCs w:val="28"/>
        </w:rPr>
        <w:t xml:space="preserve"> affordability and vulnerability</w:t>
      </w:r>
      <w:r w:rsidR="0EE05A9E" w:rsidRPr="3C85173F">
        <w:rPr>
          <w:sz w:val="28"/>
          <w:szCs w:val="28"/>
        </w:rPr>
        <w:t xml:space="preserve"> purposes</w:t>
      </w:r>
      <w:r w:rsidR="7FBFB74B" w:rsidRPr="3C85173F">
        <w:rPr>
          <w:sz w:val="28"/>
          <w:szCs w:val="28"/>
        </w:rPr>
        <w:t>.</w:t>
      </w:r>
    </w:p>
    <w:bookmarkEnd w:id="27"/>
    <w:p w14:paraId="21DFADC2" w14:textId="62DB4AB7" w:rsidR="294362CF" w:rsidRDefault="294362CF" w:rsidP="3C85173F">
      <w:pPr>
        <w:spacing w:line="259" w:lineRule="auto"/>
      </w:pPr>
      <w:r w:rsidRPr="3C85173F">
        <w:rPr>
          <w:sz w:val="28"/>
          <w:szCs w:val="28"/>
        </w:rPr>
        <w:lastRenderedPageBreak/>
        <w:t xml:space="preserve">Any proposals to improve government data matching must also acknowledge the significant lack of trust between the DWP and many benefits claimants. The introduction of the Fraud Bill, with provisions such as potential access to bank accounts, risks reinforcing this distrust and could deter vulnerable </w:t>
      </w:r>
      <w:r w:rsidR="381E5195" w:rsidRPr="3C85173F">
        <w:rPr>
          <w:sz w:val="28"/>
          <w:szCs w:val="28"/>
        </w:rPr>
        <w:t xml:space="preserve">customers </w:t>
      </w:r>
      <w:r w:rsidRPr="3C85173F">
        <w:rPr>
          <w:sz w:val="28"/>
          <w:szCs w:val="28"/>
        </w:rPr>
        <w:t>from seeking support if they fear intrusive monitoring or loss of eligibility. Similar concerns arise with health-related data, where inappropriate use of clinical records could undermine benefits decisions and increase appeals. Building trust and ensuring clear safeguards on how data is accessed and used will therefore be essential for any data-sharing reforms to succeed.</w:t>
      </w:r>
    </w:p>
    <w:p w14:paraId="429866B2" w14:textId="0A99D9BB" w:rsidR="0BD8F5EE" w:rsidRDefault="381A3C8B" w:rsidP="7E2D8D79">
      <w:pPr>
        <w:spacing w:line="259" w:lineRule="auto"/>
        <w:rPr>
          <w:sz w:val="28"/>
          <w:szCs w:val="28"/>
        </w:rPr>
      </w:pPr>
      <w:r w:rsidRPr="29468D37">
        <w:rPr>
          <w:b/>
          <w:bCs/>
          <w:sz w:val="28"/>
          <w:szCs w:val="28"/>
        </w:rPr>
        <w:t>Income assessment is</w:t>
      </w:r>
      <w:r w:rsidR="2C291389" w:rsidRPr="29468D37">
        <w:rPr>
          <w:b/>
          <w:bCs/>
          <w:sz w:val="28"/>
          <w:szCs w:val="28"/>
        </w:rPr>
        <w:t xml:space="preserve"> imperfect. </w:t>
      </w:r>
      <w:r w:rsidR="2B37CA2D" w:rsidRPr="29468D37">
        <w:rPr>
          <w:sz w:val="28"/>
          <w:szCs w:val="28"/>
        </w:rPr>
        <w:t xml:space="preserve">Given that energy bills are charged to and paid for by households, targeting bill support is most effective when done by households income. However, a key challenge to this is that the government </w:t>
      </w:r>
      <w:r w:rsidR="1CE1115D" w:rsidRPr="29468D37">
        <w:rPr>
          <w:sz w:val="28"/>
          <w:szCs w:val="28"/>
        </w:rPr>
        <w:t xml:space="preserve">only aggregates household income for Universal Credit and wider welfare purposes. Outside of that system, data is captured by HMRC on an individual basis through PAYE </w:t>
      </w:r>
      <w:r w:rsidR="07BD4BA7" w:rsidRPr="29468D37">
        <w:rPr>
          <w:sz w:val="28"/>
          <w:szCs w:val="28"/>
        </w:rPr>
        <w:t xml:space="preserve">or self-assessments. While HMRC will have a registered address for </w:t>
      </w:r>
      <w:r w:rsidR="4F99F15E" w:rsidRPr="29468D37">
        <w:rPr>
          <w:sz w:val="28"/>
          <w:szCs w:val="28"/>
        </w:rPr>
        <w:t xml:space="preserve">each individual, </w:t>
      </w:r>
      <w:r w:rsidR="1D35A462" w:rsidRPr="29468D37">
        <w:rPr>
          <w:sz w:val="28"/>
          <w:szCs w:val="28"/>
        </w:rPr>
        <w:t xml:space="preserve">data is often outdated with minimal incentive for the public to keep it updated. </w:t>
      </w:r>
      <w:r w:rsidR="55BE4A14" w:rsidRPr="29468D37">
        <w:rPr>
          <w:sz w:val="28"/>
          <w:szCs w:val="28"/>
        </w:rPr>
        <w:t xml:space="preserve">This poses some challenges to accurately aggregating individual income data into households. Multi-occupancy homes that do not operate as one economic unit (such as young people in flat shares) also add complexity to </w:t>
      </w:r>
      <w:r w:rsidR="5AAC83FB" w:rsidRPr="29468D37">
        <w:rPr>
          <w:sz w:val="28"/>
          <w:szCs w:val="28"/>
        </w:rPr>
        <w:t xml:space="preserve">this aggregation. Policymakers should be emboldened to not let perfect be the enemy of the good when it comes to </w:t>
      </w:r>
      <w:r w:rsidR="08315D6D" w:rsidRPr="29468D37">
        <w:rPr>
          <w:sz w:val="28"/>
          <w:szCs w:val="28"/>
        </w:rPr>
        <w:t xml:space="preserve">aggregating </w:t>
      </w:r>
      <w:r w:rsidR="5AAC83FB" w:rsidRPr="29468D37">
        <w:rPr>
          <w:sz w:val="28"/>
          <w:szCs w:val="28"/>
        </w:rPr>
        <w:t xml:space="preserve">income. </w:t>
      </w:r>
      <w:r w:rsidR="5AD74DBF" w:rsidRPr="29468D37">
        <w:rPr>
          <w:sz w:val="28"/>
          <w:szCs w:val="28"/>
        </w:rPr>
        <w:t>Monthly data feeds on council tax addresses cross-referenced with</w:t>
      </w:r>
      <w:r w:rsidR="5C0968BF" w:rsidRPr="29468D37">
        <w:rPr>
          <w:sz w:val="28"/>
          <w:szCs w:val="28"/>
        </w:rPr>
        <w:t xml:space="preserve"> </w:t>
      </w:r>
      <w:r w:rsidR="5AD74DBF" w:rsidRPr="29468D37">
        <w:rPr>
          <w:sz w:val="28"/>
          <w:szCs w:val="28"/>
        </w:rPr>
        <w:t xml:space="preserve">HMRC </w:t>
      </w:r>
      <w:r w:rsidR="1ACA1202" w:rsidRPr="29468D37">
        <w:rPr>
          <w:sz w:val="28"/>
          <w:szCs w:val="28"/>
        </w:rPr>
        <w:t>and supplier</w:t>
      </w:r>
      <w:r w:rsidR="1A93F12C" w:rsidRPr="29468D37">
        <w:rPr>
          <w:sz w:val="28"/>
          <w:szCs w:val="28"/>
        </w:rPr>
        <w:t xml:space="preserve"> data</w:t>
      </w:r>
      <w:r w:rsidR="1ACA1202" w:rsidRPr="29468D37">
        <w:rPr>
          <w:sz w:val="28"/>
          <w:szCs w:val="28"/>
        </w:rPr>
        <w:t xml:space="preserve"> </w:t>
      </w:r>
      <w:r w:rsidR="5AD74DBF" w:rsidRPr="29468D37">
        <w:rPr>
          <w:sz w:val="28"/>
          <w:szCs w:val="28"/>
        </w:rPr>
        <w:t xml:space="preserve">should </w:t>
      </w:r>
      <w:r w:rsidR="5B19B905" w:rsidRPr="29468D37">
        <w:rPr>
          <w:sz w:val="28"/>
          <w:szCs w:val="28"/>
        </w:rPr>
        <w:t xml:space="preserve">provide </w:t>
      </w:r>
      <w:r w:rsidR="724946ED" w:rsidRPr="29468D37">
        <w:rPr>
          <w:sz w:val="28"/>
          <w:szCs w:val="28"/>
        </w:rPr>
        <w:t xml:space="preserve">a reasonably robust </w:t>
      </w:r>
      <w:r w:rsidR="5B19B905" w:rsidRPr="29468D37">
        <w:rPr>
          <w:sz w:val="28"/>
          <w:szCs w:val="28"/>
        </w:rPr>
        <w:t>triangulation</w:t>
      </w:r>
      <w:r w:rsidR="3F1C2B7B" w:rsidRPr="29468D37">
        <w:rPr>
          <w:sz w:val="28"/>
          <w:szCs w:val="28"/>
        </w:rPr>
        <w:t xml:space="preserve"> for many households. </w:t>
      </w:r>
      <w:r w:rsidR="27F0B72A" w:rsidRPr="29468D37">
        <w:rPr>
          <w:sz w:val="28"/>
          <w:szCs w:val="28"/>
        </w:rPr>
        <w:t xml:space="preserve">Additionally, for self-employed individuals who submit a self-assessment annually, income and address data can suffer from a 12-20 month reporting lag. </w:t>
      </w:r>
    </w:p>
    <w:p w14:paraId="5423EC0A" w14:textId="525DA159" w:rsidR="2554070B" w:rsidRDefault="2554070B" w:rsidP="7E2D8D79">
      <w:pPr>
        <w:spacing w:line="259" w:lineRule="auto"/>
        <w:rPr>
          <w:sz w:val="28"/>
          <w:szCs w:val="28"/>
        </w:rPr>
      </w:pPr>
      <w:r w:rsidRPr="7E2D8D79">
        <w:rPr>
          <w:sz w:val="28"/>
          <w:szCs w:val="28"/>
        </w:rPr>
        <w:t xml:space="preserve">Where there are </w:t>
      </w:r>
      <w:r w:rsidR="6982D41C" w:rsidRPr="7E2D8D79">
        <w:rPr>
          <w:sz w:val="28"/>
          <w:szCs w:val="28"/>
        </w:rPr>
        <w:t xml:space="preserve">data </w:t>
      </w:r>
      <w:r w:rsidRPr="7E2D8D79">
        <w:rPr>
          <w:sz w:val="28"/>
          <w:szCs w:val="28"/>
        </w:rPr>
        <w:t>inconsistencies,</w:t>
      </w:r>
      <w:r w:rsidR="2C2A3821" w:rsidRPr="7E2D8D79">
        <w:rPr>
          <w:sz w:val="28"/>
          <w:szCs w:val="28"/>
        </w:rPr>
        <w:t xml:space="preserve"> households could be identified through wider means</w:t>
      </w:r>
      <w:r w:rsidR="568265D3" w:rsidRPr="7E2D8D79">
        <w:rPr>
          <w:sz w:val="28"/>
          <w:szCs w:val="28"/>
        </w:rPr>
        <w:t xml:space="preserve">, </w:t>
      </w:r>
      <w:r w:rsidR="567C86C0" w:rsidRPr="7E2D8D79">
        <w:rPr>
          <w:sz w:val="28"/>
          <w:szCs w:val="28"/>
        </w:rPr>
        <w:t>such as the Priority Service Register or smart meter data available to suppliers. Based o</w:t>
      </w:r>
      <w:r w:rsidR="2FC205D5" w:rsidRPr="7E2D8D79">
        <w:rPr>
          <w:sz w:val="28"/>
          <w:szCs w:val="28"/>
        </w:rPr>
        <w:t>n their</w:t>
      </w:r>
      <w:r w:rsidR="2C2A3821" w:rsidRPr="7E2D8D79">
        <w:rPr>
          <w:sz w:val="28"/>
          <w:szCs w:val="28"/>
        </w:rPr>
        <w:t xml:space="preserve"> payment method, arrears, consumption patterns</w:t>
      </w:r>
      <w:r w:rsidR="59A29F65" w:rsidRPr="7E2D8D79">
        <w:rPr>
          <w:sz w:val="28"/>
          <w:szCs w:val="28"/>
        </w:rPr>
        <w:t xml:space="preserve">, </w:t>
      </w:r>
      <w:r w:rsidR="2C2A3821" w:rsidRPr="7E2D8D79">
        <w:rPr>
          <w:sz w:val="28"/>
          <w:szCs w:val="28"/>
        </w:rPr>
        <w:t>health data</w:t>
      </w:r>
      <w:r w:rsidR="00C2092A" w:rsidRPr="7E2D8D79">
        <w:rPr>
          <w:sz w:val="28"/>
          <w:szCs w:val="28"/>
        </w:rPr>
        <w:t xml:space="preserve"> etc., </w:t>
      </w:r>
      <w:r w:rsidR="13606314" w:rsidRPr="7E2D8D79">
        <w:rPr>
          <w:sz w:val="28"/>
          <w:szCs w:val="28"/>
        </w:rPr>
        <w:t xml:space="preserve">households could then be contacted as part of a campaign to </w:t>
      </w:r>
      <w:r w:rsidR="51BB5AA3" w:rsidRPr="7E2D8D79">
        <w:rPr>
          <w:sz w:val="28"/>
          <w:szCs w:val="28"/>
        </w:rPr>
        <w:t>say,</w:t>
      </w:r>
      <w:r w:rsidR="13606314" w:rsidRPr="7E2D8D79">
        <w:rPr>
          <w:sz w:val="28"/>
          <w:szCs w:val="28"/>
        </w:rPr>
        <w:t xml:space="preserve"> </w:t>
      </w:r>
      <w:r w:rsidR="13606314" w:rsidRPr="00344BBB">
        <w:rPr>
          <w:sz w:val="28"/>
          <w:szCs w:val="28"/>
        </w:rPr>
        <w:t>“we think you might be entitled to an energy bill discount, please update your address here.”</w:t>
      </w:r>
    </w:p>
    <w:p w14:paraId="6E0A5D71" w14:textId="058F09B0" w:rsidR="393F0B83" w:rsidRDefault="1395ED97" w:rsidP="3C85173F">
      <w:pPr>
        <w:spacing w:line="259" w:lineRule="auto"/>
        <w:rPr>
          <w:sz w:val="28"/>
          <w:szCs w:val="28"/>
        </w:rPr>
      </w:pPr>
      <w:r w:rsidRPr="3C85173F">
        <w:rPr>
          <w:b/>
          <w:bCs/>
          <w:sz w:val="28"/>
          <w:szCs w:val="28"/>
        </w:rPr>
        <w:t>The Priority Service</w:t>
      </w:r>
      <w:r w:rsidR="7B74D930" w:rsidRPr="3C85173F">
        <w:rPr>
          <w:b/>
          <w:bCs/>
          <w:sz w:val="28"/>
          <w:szCs w:val="28"/>
        </w:rPr>
        <w:t>s</w:t>
      </w:r>
      <w:r w:rsidRPr="3C85173F">
        <w:rPr>
          <w:b/>
          <w:bCs/>
          <w:sz w:val="28"/>
          <w:szCs w:val="28"/>
        </w:rPr>
        <w:t xml:space="preserve"> Register</w:t>
      </w:r>
      <w:r w:rsidR="285962E1" w:rsidRPr="3C85173F">
        <w:rPr>
          <w:b/>
          <w:bCs/>
          <w:sz w:val="28"/>
          <w:szCs w:val="28"/>
        </w:rPr>
        <w:t xml:space="preserve"> (PSR)</w:t>
      </w:r>
      <w:r w:rsidRPr="3C85173F">
        <w:rPr>
          <w:b/>
          <w:bCs/>
          <w:sz w:val="28"/>
          <w:szCs w:val="28"/>
        </w:rPr>
        <w:t xml:space="preserve"> needs </w:t>
      </w:r>
      <w:r w:rsidR="6C002411" w:rsidRPr="3C85173F">
        <w:rPr>
          <w:b/>
          <w:bCs/>
          <w:sz w:val="28"/>
          <w:szCs w:val="28"/>
        </w:rPr>
        <w:t>clearer needs codes for vulnerable customers</w:t>
      </w:r>
      <w:r w:rsidRPr="3C85173F">
        <w:rPr>
          <w:b/>
          <w:bCs/>
          <w:sz w:val="28"/>
          <w:szCs w:val="28"/>
        </w:rPr>
        <w:t>.</w:t>
      </w:r>
      <w:r w:rsidR="442E109E" w:rsidRPr="3C85173F">
        <w:rPr>
          <w:b/>
          <w:bCs/>
          <w:sz w:val="28"/>
          <w:szCs w:val="28"/>
        </w:rPr>
        <w:t xml:space="preserve"> </w:t>
      </w:r>
      <w:r w:rsidR="442E109E" w:rsidRPr="3C85173F">
        <w:rPr>
          <w:sz w:val="28"/>
          <w:szCs w:val="28"/>
        </w:rPr>
        <w:t>Ex</w:t>
      </w:r>
      <w:r w:rsidR="39520164" w:rsidRPr="3C85173F">
        <w:rPr>
          <w:sz w:val="28"/>
          <w:szCs w:val="28"/>
        </w:rPr>
        <w:t>isting tools like energy suppliers’ P</w:t>
      </w:r>
      <w:r w:rsidR="58E94B25" w:rsidRPr="3C85173F">
        <w:rPr>
          <w:sz w:val="28"/>
          <w:szCs w:val="28"/>
        </w:rPr>
        <w:t xml:space="preserve">riority Services Register </w:t>
      </w:r>
      <w:r w:rsidR="39520164" w:rsidRPr="3C85173F">
        <w:rPr>
          <w:sz w:val="28"/>
          <w:szCs w:val="28"/>
        </w:rPr>
        <w:t xml:space="preserve">can help identify vulnerable </w:t>
      </w:r>
      <w:r w:rsidR="04940F03" w:rsidRPr="3C85173F">
        <w:rPr>
          <w:sz w:val="28"/>
          <w:szCs w:val="28"/>
        </w:rPr>
        <w:t>customers</w:t>
      </w:r>
      <w:r w:rsidR="18CDFC78" w:rsidRPr="3C85173F">
        <w:rPr>
          <w:sz w:val="28"/>
          <w:szCs w:val="28"/>
        </w:rPr>
        <w:t xml:space="preserve">, as it already keeps record of specific needs such as </w:t>
      </w:r>
      <w:r w:rsidR="17B0514F" w:rsidRPr="3C85173F">
        <w:rPr>
          <w:sz w:val="28"/>
          <w:szCs w:val="28"/>
        </w:rPr>
        <w:t>age</w:t>
      </w:r>
      <w:r w:rsidR="18CDFC78" w:rsidRPr="3C85173F">
        <w:rPr>
          <w:sz w:val="28"/>
          <w:szCs w:val="28"/>
        </w:rPr>
        <w:t>, disabled, or medical requirements to receive support during emergencies like a power cut.</w:t>
      </w:r>
      <w:r w:rsidR="6D8E74FB" w:rsidRPr="3C85173F">
        <w:rPr>
          <w:sz w:val="28"/>
          <w:szCs w:val="28"/>
        </w:rPr>
        <w:t xml:space="preserve"> However, in its current form, the P</w:t>
      </w:r>
      <w:r w:rsidR="7E1E7807" w:rsidRPr="3C85173F">
        <w:rPr>
          <w:sz w:val="28"/>
          <w:szCs w:val="28"/>
        </w:rPr>
        <w:t xml:space="preserve">riority Services Register includes </w:t>
      </w:r>
      <w:r w:rsidR="6D8E74FB" w:rsidRPr="3C85173F">
        <w:rPr>
          <w:sz w:val="28"/>
          <w:szCs w:val="28"/>
        </w:rPr>
        <w:t xml:space="preserve">over 30% of all households </w:t>
      </w:r>
      <w:r w:rsidR="51BCAA49" w:rsidRPr="3C85173F">
        <w:rPr>
          <w:sz w:val="28"/>
          <w:szCs w:val="28"/>
        </w:rPr>
        <w:t>without clear ways of identifying how these customers could be best supported</w:t>
      </w:r>
      <w:r w:rsidR="6E251EE0" w:rsidRPr="3C85173F">
        <w:rPr>
          <w:sz w:val="28"/>
          <w:szCs w:val="28"/>
        </w:rPr>
        <w:t>.</w:t>
      </w:r>
      <w:r w:rsidR="75736797" w:rsidRPr="3C85173F">
        <w:rPr>
          <w:sz w:val="28"/>
          <w:szCs w:val="28"/>
        </w:rPr>
        <w:t xml:space="preserve"> </w:t>
      </w:r>
      <w:r w:rsidR="6E03A9C9" w:rsidRPr="3C85173F">
        <w:rPr>
          <w:sz w:val="28"/>
          <w:szCs w:val="28"/>
        </w:rPr>
        <w:t xml:space="preserve">Meanwhile, research by </w:t>
      </w:r>
      <w:r w:rsidR="2A94B0E3" w:rsidRPr="3C85173F">
        <w:rPr>
          <w:sz w:val="28"/>
          <w:szCs w:val="28"/>
        </w:rPr>
        <w:lastRenderedPageBreak/>
        <w:t>Vulnerability Registration Service</w:t>
      </w:r>
      <w:r w:rsidR="6E03A9C9" w:rsidRPr="3C85173F">
        <w:rPr>
          <w:sz w:val="28"/>
          <w:szCs w:val="28"/>
        </w:rPr>
        <w:t xml:space="preserve"> finds that 63% of people who would be eligible for the Priority Services Register have not heard of it.</w:t>
      </w:r>
      <w:r w:rsidR="393F0B83" w:rsidRPr="3C85173F">
        <w:rPr>
          <w:rStyle w:val="FootnoteReference"/>
          <w:sz w:val="28"/>
          <w:szCs w:val="28"/>
        </w:rPr>
        <w:footnoteReference w:id="32"/>
      </w:r>
      <w:r w:rsidR="6E03A9C9" w:rsidRPr="3C85173F">
        <w:rPr>
          <w:sz w:val="28"/>
          <w:szCs w:val="28"/>
        </w:rPr>
        <w:t xml:space="preserve"> Ensuring the Priority Services Register adequately captures </w:t>
      </w:r>
      <w:r w:rsidR="70B050F7" w:rsidRPr="3C85173F">
        <w:rPr>
          <w:sz w:val="28"/>
          <w:szCs w:val="28"/>
        </w:rPr>
        <w:t xml:space="preserve">vulnerable customers and signposts </w:t>
      </w:r>
      <w:r w:rsidR="7F51C22A" w:rsidRPr="3C85173F">
        <w:rPr>
          <w:sz w:val="28"/>
          <w:szCs w:val="28"/>
        </w:rPr>
        <w:t xml:space="preserve">their needs for support. </w:t>
      </w:r>
    </w:p>
    <w:p w14:paraId="058B25BA" w14:textId="5220A8F2" w:rsidR="5290D892" w:rsidRDefault="5290D892" w:rsidP="1A6DFC8B">
      <w:pPr>
        <w:spacing w:line="259" w:lineRule="auto"/>
        <w:rPr>
          <w:sz w:val="28"/>
          <w:szCs w:val="28"/>
        </w:rPr>
      </w:pPr>
      <w:r w:rsidRPr="1A6DFC8B">
        <w:rPr>
          <w:sz w:val="28"/>
          <w:szCs w:val="28"/>
        </w:rPr>
        <w:t xml:space="preserve">Stakeholders have called for improvements to refine </w:t>
      </w:r>
      <w:r w:rsidR="5A14B8D3" w:rsidRPr="1A6DFC8B">
        <w:rPr>
          <w:sz w:val="28"/>
          <w:szCs w:val="28"/>
        </w:rPr>
        <w:t>need</w:t>
      </w:r>
      <w:r w:rsidR="69758CA4" w:rsidRPr="1A6DFC8B">
        <w:rPr>
          <w:sz w:val="28"/>
          <w:szCs w:val="28"/>
        </w:rPr>
        <w:t xml:space="preserve">s </w:t>
      </w:r>
      <w:r w:rsidR="5A14B8D3" w:rsidRPr="1A6DFC8B">
        <w:rPr>
          <w:sz w:val="28"/>
          <w:szCs w:val="28"/>
        </w:rPr>
        <w:t>codes to differentiate between different types of vulnerability</w:t>
      </w:r>
      <w:r w:rsidR="18CFF242" w:rsidRPr="1A6DFC8B">
        <w:rPr>
          <w:sz w:val="28"/>
          <w:szCs w:val="28"/>
        </w:rPr>
        <w:t xml:space="preserve"> i.e. disability and health versus financial. </w:t>
      </w:r>
      <w:r w:rsidR="0BC0B3B3" w:rsidRPr="1A6DFC8B">
        <w:rPr>
          <w:sz w:val="28"/>
          <w:szCs w:val="28"/>
        </w:rPr>
        <w:t>These codes and characteristics could then be shared</w:t>
      </w:r>
      <w:r w:rsidR="6FE8BCB7" w:rsidRPr="1A6DFC8B">
        <w:rPr>
          <w:sz w:val="28"/>
          <w:szCs w:val="28"/>
        </w:rPr>
        <w:t xml:space="preserve"> as part of a flagged list</w:t>
      </w:r>
      <w:r w:rsidR="0BC0B3B3" w:rsidRPr="1A6DFC8B">
        <w:rPr>
          <w:sz w:val="28"/>
          <w:szCs w:val="28"/>
        </w:rPr>
        <w:t xml:space="preserve"> </w:t>
      </w:r>
      <w:r w:rsidR="600CA226" w:rsidRPr="1A6DFC8B">
        <w:rPr>
          <w:sz w:val="28"/>
          <w:szCs w:val="28"/>
        </w:rPr>
        <w:t xml:space="preserve">from </w:t>
      </w:r>
      <w:r w:rsidR="0BC0B3B3" w:rsidRPr="1A6DFC8B">
        <w:rPr>
          <w:sz w:val="28"/>
          <w:szCs w:val="28"/>
        </w:rPr>
        <w:t>suppliers</w:t>
      </w:r>
      <w:r w:rsidR="307D3734" w:rsidRPr="1A6DFC8B">
        <w:rPr>
          <w:sz w:val="28"/>
          <w:szCs w:val="28"/>
        </w:rPr>
        <w:t xml:space="preserve"> </w:t>
      </w:r>
      <w:r w:rsidR="4B08A503" w:rsidRPr="1A6DFC8B">
        <w:rPr>
          <w:sz w:val="28"/>
          <w:szCs w:val="28"/>
        </w:rPr>
        <w:t xml:space="preserve">to </w:t>
      </w:r>
      <w:r w:rsidR="0BC0B3B3" w:rsidRPr="1A6DFC8B">
        <w:rPr>
          <w:sz w:val="28"/>
          <w:szCs w:val="28"/>
        </w:rPr>
        <w:t>the designated data processor and assessor, whether that be a third-party public body or existing government department.</w:t>
      </w:r>
      <w:r w:rsidR="465325F8" w:rsidRPr="1A6DFC8B">
        <w:rPr>
          <w:sz w:val="28"/>
          <w:szCs w:val="28"/>
        </w:rPr>
        <w:t xml:space="preserve"> </w:t>
      </w:r>
      <w:r w:rsidR="5F8B8A48" w:rsidRPr="1A6DFC8B">
        <w:rPr>
          <w:sz w:val="28"/>
          <w:szCs w:val="28"/>
        </w:rPr>
        <w:t xml:space="preserve">This work will require action by Ofgem to </w:t>
      </w:r>
      <w:r w:rsidR="460F01F2" w:rsidRPr="1A6DFC8B">
        <w:rPr>
          <w:sz w:val="28"/>
          <w:szCs w:val="28"/>
        </w:rPr>
        <w:t xml:space="preserve">undertake </w:t>
      </w:r>
      <w:r w:rsidR="17AA2ECC" w:rsidRPr="1A6DFC8B">
        <w:rPr>
          <w:sz w:val="28"/>
          <w:szCs w:val="28"/>
        </w:rPr>
        <w:t>an analysis of potential health-based needs codes</w:t>
      </w:r>
      <w:r w:rsidR="168FD4A2" w:rsidRPr="1A6DFC8B">
        <w:rPr>
          <w:sz w:val="28"/>
          <w:szCs w:val="28"/>
        </w:rPr>
        <w:t xml:space="preserve"> and the data required to qualify them, working with partners in the healthcare </w:t>
      </w:r>
      <w:r w:rsidR="7AC8DABE" w:rsidRPr="1A6DFC8B">
        <w:rPr>
          <w:sz w:val="28"/>
          <w:szCs w:val="28"/>
        </w:rPr>
        <w:t xml:space="preserve">partners, energy </w:t>
      </w:r>
      <w:r w:rsidR="168FD4A2" w:rsidRPr="1A6DFC8B">
        <w:rPr>
          <w:sz w:val="28"/>
          <w:szCs w:val="28"/>
        </w:rPr>
        <w:t>suppliers</w:t>
      </w:r>
      <w:r w:rsidR="5F9D78E4" w:rsidRPr="1A6DFC8B">
        <w:rPr>
          <w:sz w:val="28"/>
          <w:szCs w:val="28"/>
        </w:rPr>
        <w:t>, District Network Operators, Gas District Network, water companies and Ofwat</w:t>
      </w:r>
      <w:r w:rsidR="168FD4A2" w:rsidRPr="1A6DFC8B">
        <w:rPr>
          <w:sz w:val="28"/>
          <w:szCs w:val="28"/>
        </w:rPr>
        <w:t xml:space="preserve"> on how that data can be used. </w:t>
      </w:r>
    </w:p>
    <w:p w14:paraId="60404FF8" w14:textId="1AFA774E" w:rsidR="393F0B83" w:rsidRDefault="60549F36" w:rsidP="7E2D8D79">
      <w:pPr>
        <w:spacing w:line="259" w:lineRule="auto"/>
        <w:rPr>
          <w:sz w:val="28"/>
          <w:szCs w:val="28"/>
        </w:rPr>
      </w:pPr>
      <w:r w:rsidRPr="1A6DFC8B">
        <w:rPr>
          <w:sz w:val="28"/>
          <w:szCs w:val="28"/>
        </w:rPr>
        <w:t>This again would extend beyond the Digital Economy Act</w:t>
      </w:r>
      <w:r w:rsidR="12B4A04C" w:rsidRPr="1A6DFC8B">
        <w:rPr>
          <w:sz w:val="28"/>
          <w:szCs w:val="28"/>
        </w:rPr>
        <w:t>’s remit of sharing data for the purpose of reducing fuel poverty</w:t>
      </w:r>
      <w:r w:rsidR="2D98C3FA" w:rsidRPr="1A6DFC8B">
        <w:rPr>
          <w:sz w:val="28"/>
          <w:szCs w:val="28"/>
        </w:rPr>
        <w:t xml:space="preserve">, as wider vulnerabilities are also captured in the data. Expanding the Act’s purpose would </w:t>
      </w:r>
      <w:r w:rsidR="3672E9FB" w:rsidRPr="1A6DFC8B">
        <w:rPr>
          <w:sz w:val="28"/>
          <w:szCs w:val="28"/>
        </w:rPr>
        <w:t xml:space="preserve">enable the government to not only improve data matching for targeted bill support, but also for other </w:t>
      </w:r>
      <w:r w:rsidR="1A58E4FC" w:rsidRPr="1A6DFC8B">
        <w:rPr>
          <w:sz w:val="28"/>
          <w:szCs w:val="28"/>
        </w:rPr>
        <w:t>affordability services like debt relief and energy efficiency schemes.</w:t>
      </w:r>
      <w:r w:rsidR="09B48B43" w:rsidRPr="1A6DFC8B">
        <w:rPr>
          <w:sz w:val="28"/>
          <w:szCs w:val="28"/>
        </w:rPr>
        <w:t xml:space="preserve"> </w:t>
      </w:r>
    </w:p>
    <w:p w14:paraId="09507094" w14:textId="39C76C37" w:rsidR="2761DE6A" w:rsidRDefault="2761DE6A" w:rsidP="3C85173F">
      <w:pPr>
        <w:spacing w:line="259" w:lineRule="auto"/>
        <w:rPr>
          <w:sz w:val="28"/>
          <w:szCs w:val="28"/>
        </w:rPr>
      </w:pPr>
      <w:r w:rsidRPr="3C85173F">
        <w:rPr>
          <w:b/>
          <w:bCs/>
          <w:sz w:val="28"/>
          <w:szCs w:val="28"/>
        </w:rPr>
        <w:t>Wider forms of</w:t>
      </w:r>
      <w:r w:rsidR="2E5A1832" w:rsidRPr="3C85173F">
        <w:rPr>
          <w:b/>
          <w:bCs/>
          <w:sz w:val="28"/>
          <w:szCs w:val="28"/>
        </w:rPr>
        <w:t xml:space="preserve"> </w:t>
      </w:r>
      <w:r w:rsidR="272D047F" w:rsidRPr="3C85173F">
        <w:rPr>
          <w:b/>
          <w:bCs/>
          <w:sz w:val="28"/>
          <w:szCs w:val="28"/>
        </w:rPr>
        <w:t>reporting could also help identify households</w:t>
      </w:r>
      <w:r w:rsidR="580EF366" w:rsidRPr="3C85173F">
        <w:rPr>
          <w:b/>
          <w:bCs/>
          <w:sz w:val="28"/>
          <w:szCs w:val="28"/>
        </w:rPr>
        <w:t xml:space="preserve"> for targeted bill support. </w:t>
      </w:r>
      <w:r w:rsidR="2547185C" w:rsidRPr="3C85173F">
        <w:rPr>
          <w:sz w:val="28"/>
          <w:szCs w:val="28"/>
        </w:rPr>
        <w:t xml:space="preserve">Further services should be available to refer households for bill support, either through healthcare services or self-reporting routes </w:t>
      </w:r>
      <w:r w:rsidR="5DD563E3" w:rsidRPr="3C85173F">
        <w:rPr>
          <w:sz w:val="28"/>
          <w:szCs w:val="28"/>
        </w:rPr>
        <w:t xml:space="preserve">when households enter a sudden </w:t>
      </w:r>
      <w:r w:rsidR="6145A687" w:rsidRPr="3C85173F">
        <w:rPr>
          <w:sz w:val="28"/>
          <w:szCs w:val="28"/>
        </w:rPr>
        <w:t>change of circumstance or ‘</w:t>
      </w:r>
      <w:r w:rsidR="5DD563E3" w:rsidRPr="3C85173F">
        <w:rPr>
          <w:sz w:val="28"/>
          <w:szCs w:val="28"/>
        </w:rPr>
        <w:t>crisis</w:t>
      </w:r>
      <w:r w:rsidR="6EEB8F31" w:rsidRPr="3C85173F">
        <w:rPr>
          <w:sz w:val="28"/>
          <w:szCs w:val="28"/>
        </w:rPr>
        <w:t>’</w:t>
      </w:r>
      <w:r w:rsidR="5DD563E3" w:rsidRPr="3C85173F">
        <w:rPr>
          <w:sz w:val="28"/>
          <w:szCs w:val="28"/>
        </w:rPr>
        <w:t xml:space="preserve"> (i.e.</w:t>
      </w:r>
      <w:r w:rsidR="2BE6D1DF" w:rsidRPr="3C85173F">
        <w:rPr>
          <w:sz w:val="28"/>
          <w:szCs w:val="28"/>
        </w:rPr>
        <w:t xml:space="preserve"> redundancy, bereavement etc.).</w:t>
      </w:r>
      <w:r w:rsidR="756A248E" w:rsidRPr="3C85173F">
        <w:rPr>
          <w:sz w:val="28"/>
          <w:szCs w:val="28"/>
        </w:rPr>
        <w:t xml:space="preserve"> </w:t>
      </w:r>
    </w:p>
    <w:p w14:paraId="15433048" w14:textId="692BD170" w:rsidR="1F9D5311" w:rsidRDefault="1F9D5311" w:rsidP="29468D37">
      <w:pPr>
        <w:spacing w:line="259" w:lineRule="auto"/>
        <w:rPr>
          <w:sz w:val="28"/>
          <w:szCs w:val="28"/>
        </w:rPr>
      </w:pPr>
      <w:r w:rsidRPr="3C85173F">
        <w:rPr>
          <w:sz w:val="28"/>
          <w:szCs w:val="28"/>
        </w:rPr>
        <w:t xml:space="preserve">Recent trials of the Warm Homes Prescription </w:t>
      </w:r>
      <w:r w:rsidR="6066BF9D" w:rsidRPr="3C85173F">
        <w:rPr>
          <w:sz w:val="28"/>
          <w:szCs w:val="28"/>
        </w:rPr>
        <w:t xml:space="preserve">(WHP) </w:t>
      </w:r>
      <w:r w:rsidRPr="3C85173F">
        <w:rPr>
          <w:sz w:val="28"/>
          <w:szCs w:val="28"/>
        </w:rPr>
        <w:t xml:space="preserve">by the Energy Systems Catapult </w:t>
      </w:r>
      <w:r w:rsidR="745A199F" w:rsidRPr="3C85173F">
        <w:rPr>
          <w:sz w:val="28"/>
          <w:szCs w:val="28"/>
        </w:rPr>
        <w:t>highlight how social prescribing in NHS partners and local energy advice organisations can support vulnerable and lo</w:t>
      </w:r>
      <w:r w:rsidR="3973AD6F" w:rsidRPr="3C85173F">
        <w:rPr>
          <w:sz w:val="28"/>
          <w:szCs w:val="28"/>
        </w:rPr>
        <w:t>w-income customers</w:t>
      </w:r>
      <w:r w:rsidR="66B79EDF" w:rsidRPr="3C85173F">
        <w:rPr>
          <w:sz w:val="28"/>
          <w:szCs w:val="28"/>
        </w:rPr>
        <w:t xml:space="preserve"> with immediate relief for living in warmer temperatures</w:t>
      </w:r>
      <w:r w:rsidR="05F45383" w:rsidRPr="3C85173F">
        <w:rPr>
          <w:sz w:val="28"/>
          <w:szCs w:val="28"/>
        </w:rPr>
        <w:t>, including energy bill support and energy efficiency.</w:t>
      </w:r>
      <w:r w:rsidR="469C849A" w:rsidRPr="3C85173F">
        <w:rPr>
          <w:sz w:val="28"/>
          <w:szCs w:val="28"/>
        </w:rPr>
        <w:t xml:space="preserve"> The trial found that 93% of delivery staff delivering WHP would like to see the NHS offer it again in winter</w:t>
      </w:r>
      <w:r w:rsidR="076D7EAA" w:rsidRPr="3C85173F">
        <w:rPr>
          <w:sz w:val="28"/>
          <w:szCs w:val="28"/>
        </w:rPr>
        <w:t xml:space="preserve">, and </w:t>
      </w:r>
      <w:r w:rsidR="469C849A" w:rsidRPr="3C85173F">
        <w:rPr>
          <w:sz w:val="28"/>
          <w:szCs w:val="28"/>
        </w:rPr>
        <w:t>94% of healthcare professionals were satisfied with the WHP experience, finding it easy to integrate within their routine workload</w:t>
      </w:r>
      <w:r w:rsidR="4AEEE13F" w:rsidRPr="3C85173F">
        <w:rPr>
          <w:sz w:val="28"/>
          <w:szCs w:val="28"/>
        </w:rPr>
        <w:t xml:space="preserve">. Among 823 recipients, 79% reported physical health improvements and 70% reported better mental health after receiving WHP. Recipients saw lower usage of primary healthcare services (e.g., GP visits, out-of-hours appointments and prescriptions) compared to prior winters, and there was some indication of reduced overnight hospital stays, suggesting WHP may alleviate pressure on NHS services. This model was said to be replicated and scaled with partners in </w:t>
      </w:r>
      <w:r w:rsidR="49C3BCB9" w:rsidRPr="3C85173F">
        <w:rPr>
          <w:sz w:val="28"/>
          <w:szCs w:val="28"/>
        </w:rPr>
        <w:t xml:space="preserve">NHS, </w:t>
      </w:r>
      <w:r w:rsidR="49C3BCB9" w:rsidRPr="3C85173F">
        <w:rPr>
          <w:sz w:val="28"/>
          <w:szCs w:val="28"/>
        </w:rPr>
        <w:lastRenderedPageBreak/>
        <w:t>energy advisors and suppliers.</w:t>
      </w:r>
      <w:r w:rsidRPr="3C85173F">
        <w:rPr>
          <w:rStyle w:val="FootnoteReference"/>
          <w:sz w:val="28"/>
          <w:szCs w:val="28"/>
        </w:rPr>
        <w:footnoteReference w:id="33"/>
      </w:r>
      <w:r w:rsidR="5B566BF1" w:rsidRPr="29468D37">
        <w:rPr>
          <w:sz w:val="28"/>
          <w:szCs w:val="28"/>
        </w:rPr>
        <w:t xml:space="preserve"> Policymakers in DHSC should learn the lessons from this and consider how suppliers and health providers can scale social prescribing as a </w:t>
      </w:r>
      <w:r w:rsidR="46731A40" w:rsidRPr="29468D37">
        <w:rPr>
          <w:sz w:val="28"/>
          <w:szCs w:val="28"/>
        </w:rPr>
        <w:t>route to identifying vulnerable customers for targeted bill support.</w:t>
      </w:r>
    </w:p>
    <w:p w14:paraId="6FA73DED" w14:textId="42D278F1" w:rsidR="1108887A" w:rsidRDefault="1108887A" w:rsidP="3C85173F">
      <w:pPr>
        <w:spacing w:line="259" w:lineRule="auto"/>
        <w:rPr>
          <w:sz w:val="28"/>
          <w:szCs w:val="28"/>
        </w:rPr>
      </w:pPr>
      <w:r w:rsidRPr="3C85173F">
        <w:rPr>
          <w:sz w:val="28"/>
          <w:szCs w:val="28"/>
        </w:rPr>
        <w:t xml:space="preserve">Application routes, such as the one Scotland has for the WHD Broader Group, </w:t>
      </w:r>
      <w:r w:rsidR="1CDFD5D4" w:rsidRPr="3C85173F">
        <w:rPr>
          <w:sz w:val="28"/>
          <w:szCs w:val="28"/>
        </w:rPr>
        <w:t xml:space="preserve">could also provide </w:t>
      </w:r>
      <w:r w:rsidR="046B4C5A" w:rsidRPr="3C85173F">
        <w:rPr>
          <w:sz w:val="28"/>
          <w:szCs w:val="28"/>
        </w:rPr>
        <w:t xml:space="preserve">a pathway for vulnerable customers who may be missed by auto-enrolment due to data inaccuracies. </w:t>
      </w:r>
      <w:r w:rsidR="22F1A55B" w:rsidRPr="3C85173F">
        <w:rPr>
          <w:sz w:val="28"/>
          <w:szCs w:val="28"/>
        </w:rPr>
        <w:t xml:space="preserve">These routes can be particularly onerous for the most in-need, such as disabled households, so accessibility provisions must be considered in its design. However, </w:t>
      </w:r>
      <w:r w:rsidR="07DC7EE4" w:rsidRPr="3C85173F">
        <w:rPr>
          <w:sz w:val="28"/>
          <w:szCs w:val="28"/>
        </w:rPr>
        <w:t>disabled households would be otherwise well supported through wider recommendations for</w:t>
      </w:r>
      <w:r w:rsidR="44CF0005" w:rsidRPr="3C85173F">
        <w:rPr>
          <w:sz w:val="28"/>
          <w:szCs w:val="28"/>
        </w:rPr>
        <w:t xml:space="preserve"> income data-matching, social prescribing, the Priority Services Register</w:t>
      </w:r>
      <w:r w:rsidR="5F902D7D" w:rsidRPr="3C85173F">
        <w:rPr>
          <w:sz w:val="28"/>
          <w:szCs w:val="28"/>
        </w:rPr>
        <w:t xml:space="preserve"> reforms.</w:t>
      </w:r>
      <w:r w:rsidR="44CF0005" w:rsidRPr="3C85173F">
        <w:rPr>
          <w:sz w:val="28"/>
          <w:szCs w:val="28"/>
        </w:rPr>
        <w:t xml:space="preserve"> </w:t>
      </w:r>
    </w:p>
    <w:p w14:paraId="128D2D43" w14:textId="20CEF5F9" w:rsidR="2C47CF0C" w:rsidRDefault="2C47CF0C" w:rsidP="3C85173F">
      <w:pPr>
        <w:spacing w:line="259" w:lineRule="auto"/>
        <w:rPr>
          <w:sz w:val="28"/>
          <w:szCs w:val="28"/>
        </w:rPr>
      </w:pPr>
      <w:r w:rsidRPr="3C85173F">
        <w:rPr>
          <w:sz w:val="28"/>
          <w:szCs w:val="28"/>
        </w:rPr>
        <w:t>Self-reporting routes are harder to facilita</w:t>
      </w:r>
      <w:r w:rsidR="3DD16B07" w:rsidRPr="3C85173F">
        <w:rPr>
          <w:sz w:val="28"/>
          <w:szCs w:val="28"/>
        </w:rPr>
        <w:t>te to work with the right partners and ensure they are inclusive with the right design tools</w:t>
      </w:r>
      <w:r w:rsidR="7C4A9A71" w:rsidRPr="3C85173F">
        <w:rPr>
          <w:sz w:val="28"/>
          <w:szCs w:val="28"/>
        </w:rPr>
        <w:t>, which ca</w:t>
      </w:r>
      <w:r w:rsidR="3DD16B07" w:rsidRPr="3C85173F">
        <w:rPr>
          <w:sz w:val="28"/>
          <w:szCs w:val="28"/>
        </w:rPr>
        <w:t>n be an onerous and expensive process.</w:t>
      </w:r>
      <w:r w:rsidR="102CB567" w:rsidRPr="3C85173F">
        <w:rPr>
          <w:sz w:val="28"/>
          <w:szCs w:val="28"/>
        </w:rPr>
        <w:t xml:space="preserve"> </w:t>
      </w:r>
      <w:r w:rsidR="713D436E" w:rsidRPr="3C85173F">
        <w:rPr>
          <w:sz w:val="28"/>
          <w:szCs w:val="28"/>
        </w:rPr>
        <w:t xml:space="preserve">These routes should still be invested in and available, but decisionmakers and stakeholders should be aware that it is not a quick win over progressing with income data matching and </w:t>
      </w:r>
      <w:r w:rsidR="1B9A3E17" w:rsidRPr="3C85173F">
        <w:rPr>
          <w:sz w:val="28"/>
          <w:szCs w:val="28"/>
        </w:rPr>
        <w:t>coding the P</w:t>
      </w:r>
      <w:r w:rsidR="5599F606" w:rsidRPr="3C85173F">
        <w:rPr>
          <w:sz w:val="28"/>
          <w:szCs w:val="28"/>
        </w:rPr>
        <w:t>riority Services Register</w:t>
      </w:r>
      <w:r w:rsidR="1B9A3E17" w:rsidRPr="3C85173F">
        <w:rPr>
          <w:sz w:val="28"/>
          <w:szCs w:val="28"/>
        </w:rPr>
        <w:t>.</w:t>
      </w:r>
    </w:p>
    <w:p w14:paraId="2E75828B" w14:textId="1EEF2490" w:rsidR="29468D37" w:rsidRDefault="1B9A3E17" w:rsidP="00E817A7">
      <w:pPr>
        <w:spacing w:line="259" w:lineRule="auto"/>
        <w:rPr>
          <w:sz w:val="28"/>
          <w:szCs w:val="28"/>
        </w:rPr>
      </w:pPr>
      <w:r w:rsidRPr="29468D37">
        <w:rPr>
          <w:sz w:val="28"/>
          <w:szCs w:val="28"/>
        </w:rPr>
        <w:t xml:space="preserve">Many of the challenges and solutions set out above include both administrative hurdles and political risk. It is reasonable for politicians to worry about privacy concerns and </w:t>
      </w:r>
      <w:r w:rsidR="6D650ADF" w:rsidRPr="29468D37">
        <w:rPr>
          <w:sz w:val="28"/>
          <w:szCs w:val="28"/>
        </w:rPr>
        <w:t xml:space="preserve">data quality issues that cause mistakes – either in-need households missing out or the wrong households benefiting from </w:t>
      </w:r>
      <w:r w:rsidR="3F063D98" w:rsidRPr="29468D37">
        <w:rPr>
          <w:sz w:val="28"/>
          <w:szCs w:val="28"/>
        </w:rPr>
        <w:t>other taxpayers or billpayers’.  However, this fear has paralysed action for too long with limited progress since the energy crisis began over four years ago.</w:t>
      </w:r>
      <w:r w:rsidR="22DA53E8" w:rsidRPr="29468D37">
        <w:rPr>
          <w:sz w:val="28"/>
          <w:szCs w:val="28"/>
        </w:rPr>
        <w:t xml:space="preserve"> Below, we set out clear near-term and longer-term actions that the government can take to accelerate a new and improved targeted bill support scheme.</w:t>
      </w:r>
    </w:p>
    <w:p w14:paraId="41F2F55F" w14:textId="77777777" w:rsidR="00E817A7" w:rsidRPr="00E817A7" w:rsidRDefault="00E817A7" w:rsidP="00E817A7">
      <w:pPr>
        <w:spacing w:line="259" w:lineRule="auto"/>
        <w:rPr>
          <w:sz w:val="28"/>
          <w:szCs w:val="28"/>
        </w:rPr>
      </w:pPr>
    </w:p>
    <w:p w14:paraId="570CBA9F" w14:textId="0677ED8A" w:rsidR="7E2D8D79" w:rsidRPr="00A4313C" w:rsidRDefault="45815497" w:rsidP="1A6DFC8B">
      <w:pPr>
        <w:pStyle w:val="Heading3"/>
        <w:rPr>
          <w:color w:val="3275C8"/>
          <w:sz w:val="32"/>
          <w:szCs w:val="32"/>
        </w:rPr>
      </w:pPr>
      <w:r w:rsidRPr="00A4313C">
        <w:rPr>
          <w:color w:val="3275C8"/>
          <w:sz w:val="32"/>
          <w:szCs w:val="32"/>
        </w:rPr>
        <w:t xml:space="preserve">Extending </w:t>
      </w:r>
      <w:r w:rsidR="367587EB" w:rsidRPr="00A4313C">
        <w:rPr>
          <w:color w:val="3275C8"/>
          <w:sz w:val="32"/>
          <w:szCs w:val="32"/>
        </w:rPr>
        <w:t>WHD and improving targeted bill support</w:t>
      </w:r>
    </w:p>
    <w:p w14:paraId="7F1862C1" w14:textId="576C4F48" w:rsidR="7E2D8D79" w:rsidRDefault="6EBC7E55" w:rsidP="29468D37">
      <w:pPr>
        <w:spacing w:line="259" w:lineRule="auto"/>
        <w:rPr>
          <w:sz w:val="28"/>
          <w:szCs w:val="28"/>
        </w:rPr>
      </w:pPr>
      <w:r w:rsidRPr="29468D37">
        <w:rPr>
          <w:sz w:val="28"/>
          <w:szCs w:val="28"/>
        </w:rPr>
        <w:t>As highlighted above, it will likely take 18 months to two years for the government to sufficiently build the data matching infrastructure</w:t>
      </w:r>
      <w:r w:rsidR="613DC878" w:rsidRPr="29468D37">
        <w:rPr>
          <w:sz w:val="28"/>
          <w:szCs w:val="28"/>
        </w:rPr>
        <w:t>,</w:t>
      </w:r>
      <w:r w:rsidR="60DFEE37" w:rsidRPr="29468D37">
        <w:rPr>
          <w:sz w:val="28"/>
          <w:szCs w:val="28"/>
        </w:rPr>
        <w:t xml:space="preserve"> </w:t>
      </w:r>
      <w:r w:rsidR="7B623689" w:rsidRPr="29468D37">
        <w:rPr>
          <w:sz w:val="28"/>
          <w:szCs w:val="28"/>
        </w:rPr>
        <w:t>with the</w:t>
      </w:r>
      <w:r w:rsidR="60DFEE37" w:rsidRPr="29468D37">
        <w:rPr>
          <w:sz w:val="28"/>
          <w:szCs w:val="28"/>
        </w:rPr>
        <w:t xml:space="preserve"> </w:t>
      </w:r>
      <w:r w:rsidRPr="29468D37">
        <w:rPr>
          <w:sz w:val="28"/>
          <w:szCs w:val="28"/>
        </w:rPr>
        <w:t>necessary</w:t>
      </w:r>
      <w:r w:rsidR="421F00CF" w:rsidRPr="29468D37">
        <w:rPr>
          <w:sz w:val="28"/>
          <w:szCs w:val="28"/>
        </w:rPr>
        <w:t xml:space="preserve"> </w:t>
      </w:r>
      <w:r w:rsidR="43A47BCB" w:rsidRPr="29468D37">
        <w:rPr>
          <w:sz w:val="28"/>
          <w:szCs w:val="28"/>
        </w:rPr>
        <w:t>legislative</w:t>
      </w:r>
      <w:r w:rsidR="421F00CF" w:rsidRPr="29468D37">
        <w:rPr>
          <w:sz w:val="28"/>
          <w:szCs w:val="28"/>
        </w:rPr>
        <w:t xml:space="preserve"> and</w:t>
      </w:r>
      <w:r w:rsidRPr="29468D37">
        <w:rPr>
          <w:sz w:val="28"/>
          <w:szCs w:val="28"/>
        </w:rPr>
        <w:t xml:space="preserve"> safeguarding processes</w:t>
      </w:r>
      <w:r w:rsidR="2D58043B" w:rsidRPr="29468D37">
        <w:rPr>
          <w:sz w:val="28"/>
          <w:szCs w:val="28"/>
        </w:rPr>
        <w:t>,</w:t>
      </w:r>
      <w:r w:rsidRPr="29468D37">
        <w:rPr>
          <w:sz w:val="28"/>
          <w:szCs w:val="28"/>
        </w:rPr>
        <w:t xml:space="preserve"> </w:t>
      </w:r>
      <w:r w:rsidR="13C234E9" w:rsidRPr="29468D37">
        <w:rPr>
          <w:sz w:val="28"/>
          <w:szCs w:val="28"/>
        </w:rPr>
        <w:t>for</w:t>
      </w:r>
      <w:r w:rsidRPr="29468D37">
        <w:rPr>
          <w:sz w:val="28"/>
          <w:szCs w:val="28"/>
        </w:rPr>
        <w:t xml:space="preserve"> a targeted bill </w:t>
      </w:r>
      <w:r w:rsidR="23D108DD" w:rsidRPr="29468D37">
        <w:rPr>
          <w:sz w:val="28"/>
          <w:szCs w:val="28"/>
        </w:rPr>
        <w:t xml:space="preserve">payment </w:t>
      </w:r>
      <w:r w:rsidRPr="29468D37">
        <w:rPr>
          <w:sz w:val="28"/>
          <w:szCs w:val="28"/>
        </w:rPr>
        <w:t>mecha</w:t>
      </w:r>
      <w:r w:rsidR="71CBEFCF" w:rsidRPr="29468D37">
        <w:rPr>
          <w:sz w:val="28"/>
          <w:szCs w:val="28"/>
        </w:rPr>
        <w:t xml:space="preserve">nism that </w:t>
      </w:r>
      <w:r w:rsidR="2F5E6609" w:rsidRPr="29468D37">
        <w:rPr>
          <w:sz w:val="28"/>
          <w:szCs w:val="28"/>
        </w:rPr>
        <w:t xml:space="preserve">supports vulnerable customers outside of the welfare system. </w:t>
      </w:r>
      <w:r w:rsidR="06238912" w:rsidRPr="29468D37">
        <w:rPr>
          <w:sz w:val="28"/>
          <w:szCs w:val="28"/>
        </w:rPr>
        <w:t>Policymakers should aim for the payments to be implemented by Winter 2027/28.</w:t>
      </w:r>
    </w:p>
    <w:p w14:paraId="2A9343BD" w14:textId="2A827FFE" w:rsidR="7E2D8D79" w:rsidRDefault="3574219A" w:rsidP="29468D37">
      <w:pPr>
        <w:spacing w:line="259" w:lineRule="auto"/>
        <w:rPr>
          <w:sz w:val="28"/>
          <w:szCs w:val="28"/>
        </w:rPr>
      </w:pPr>
      <w:r w:rsidRPr="29468D37">
        <w:rPr>
          <w:sz w:val="28"/>
          <w:szCs w:val="28"/>
        </w:rPr>
        <w:t>Over this time, it is critical that policymakers:</w:t>
      </w:r>
    </w:p>
    <w:p w14:paraId="482C621D" w14:textId="2FA74397" w:rsidR="7E2D8D79" w:rsidRDefault="3B7D88B9" w:rsidP="29468D37">
      <w:pPr>
        <w:pStyle w:val="ListParagraph"/>
        <w:numPr>
          <w:ilvl w:val="0"/>
          <w:numId w:val="1"/>
        </w:numPr>
        <w:spacing w:line="259" w:lineRule="auto"/>
        <w:rPr>
          <w:b/>
          <w:bCs/>
          <w:sz w:val="28"/>
          <w:szCs w:val="28"/>
        </w:rPr>
      </w:pPr>
      <w:r w:rsidRPr="29468D37">
        <w:rPr>
          <w:b/>
          <w:bCs/>
          <w:sz w:val="28"/>
          <w:szCs w:val="28"/>
        </w:rPr>
        <w:t>Provide adequate support to vulnerable customers until the new system of targeted bill support is ready to implement. This includes:</w:t>
      </w:r>
    </w:p>
    <w:p w14:paraId="3E543B6B" w14:textId="4C1064E2" w:rsidR="081D026E" w:rsidRDefault="081D026E" w:rsidP="1A6DFC8B">
      <w:pPr>
        <w:pStyle w:val="ListParagraph"/>
        <w:numPr>
          <w:ilvl w:val="1"/>
          <w:numId w:val="1"/>
        </w:numPr>
        <w:spacing w:line="259" w:lineRule="auto"/>
        <w:rPr>
          <w:sz w:val="28"/>
          <w:szCs w:val="28"/>
        </w:rPr>
      </w:pPr>
      <w:r w:rsidRPr="1A6DFC8B">
        <w:rPr>
          <w:sz w:val="28"/>
          <w:szCs w:val="28"/>
        </w:rPr>
        <w:lastRenderedPageBreak/>
        <w:t>Committing in 2025 to e</w:t>
      </w:r>
      <w:r w:rsidR="0C2A6782" w:rsidRPr="1A6DFC8B">
        <w:rPr>
          <w:sz w:val="28"/>
          <w:szCs w:val="28"/>
        </w:rPr>
        <w:t xml:space="preserve">xtend the WHD by one year (to April 2027) to ensure that vulnerable customers do not miss out on support. </w:t>
      </w:r>
      <w:r w:rsidR="1FE83475" w:rsidRPr="1A6DFC8B">
        <w:rPr>
          <w:sz w:val="28"/>
          <w:szCs w:val="28"/>
        </w:rPr>
        <w:t>If timelines for implementing a new system of targeted bill support (outlined below) encounter delays, policymakers must ensure there is no gap in support and consider extending the WHD for a second year to April 2028</w:t>
      </w:r>
      <w:r w:rsidR="0BB56555" w:rsidRPr="1A6DFC8B">
        <w:rPr>
          <w:sz w:val="28"/>
          <w:szCs w:val="28"/>
        </w:rPr>
        <w:t>.</w:t>
      </w:r>
    </w:p>
    <w:p w14:paraId="311A1859" w14:textId="56B30D65" w:rsidR="1A1E6233" w:rsidRDefault="1A1E6233" w:rsidP="1A6DFC8B">
      <w:pPr>
        <w:pStyle w:val="ListParagraph"/>
        <w:numPr>
          <w:ilvl w:val="1"/>
          <w:numId w:val="1"/>
        </w:numPr>
        <w:spacing w:line="259" w:lineRule="auto"/>
        <w:rPr>
          <w:sz w:val="28"/>
          <w:szCs w:val="28"/>
        </w:rPr>
      </w:pPr>
      <w:r w:rsidRPr="1A6DFC8B">
        <w:rPr>
          <w:sz w:val="28"/>
          <w:szCs w:val="28"/>
        </w:rPr>
        <w:t>Increas</w:t>
      </w:r>
      <w:r w:rsidR="024EDE30" w:rsidRPr="1A6DFC8B">
        <w:rPr>
          <w:sz w:val="28"/>
          <w:szCs w:val="28"/>
        </w:rPr>
        <w:t>ing</w:t>
      </w:r>
      <w:r w:rsidRPr="1A6DFC8B">
        <w:rPr>
          <w:sz w:val="28"/>
          <w:szCs w:val="28"/>
        </w:rPr>
        <w:t xml:space="preserve"> the WHD to £400 in line with the average fuel poverty gap for Winter 2026/27</w:t>
      </w:r>
      <w:r w:rsidR="03A7CA7F" w:rsidRPr="1A6DFC8B">
        <w:rPr>
          <w:sz w:val="28"/>
          <w:szCs w:val="28"/>
        </w:rPr>
        <w:t xml:space="preserve"> with </w:t>
      </w:r>
      <w:r w:rsidR="51938F17" w:rsidRPr="1A6DFC8B">
        <w:rPr>
          <w:sz w:val="28"/>
          <w:szCs w:val="28"/>
        </w:rPr>
        <w:t xml:space="preserve">£100 booster payments to WHD-eligible standard credit customers and a £100 payment to disability benefit claimants. </w:t>
      </w:r>
      <w:r w:rsidR="16EF4D0D" w:rsidRPr="1A6DFC8B">
        <w:rPr>
          <w:sz w:val="28"/>
          <w:szCs w:val="28"/>
        </w:rPr>
        <w:t>This will cost £2.</w:t>
      </w:r>
      <w:r w:rsidR="146EF168" w:rsidRPr="1A6DFC8B">
        <w:rPr>
          <w:sz w:val="28"/>
          <w:szCs w:val="28"/>
        </w:rPr>
        <w:t>7</w:t>
      </w:r>
      <w:r w:rsidR="16EF4D0D" w:rsidRPr="1A6DFC8B">
        <w:rPr>
          <w:sz w:val="28"/>
          <w:szCs w:val="28"/>
        </w:rPr>
        <w:t>bn a year or an average of £</w:t>
      </w:r>
      <w:r w:rsidR="44534F22" w:rsidRPr="1A6DFC8B">
        <w:rPr>
          <w:sz w:val="28"/>
          <w:szCs w:val="28"/>
        </w:rPr>
        <w:t>93 per policy loser</w:t>
      </w:r>
      <w:r w:rsidR="3DBFE8D1" w:rsidRPr="1A6DFC8B">
        <w:rPr>
          <w:sz w:val="28"/>
          <w:szCs w:val="28"/>
        </w:rPr>
        <w:t xml:space="preserve"> </w:t>
      </w:r>
      <w:r w:rsidR="16EF4D0D" w:rsidRPr="1A6DFC8B">
        <w:rPr>
          <w:sz w:val="28"/>
          <w:szCs w:val="28"/>
        </w:rPr>
        <w:t>if funded entirely on bills</w:t>
      </w:r>
      <w:r w:rsidR="043BF2D6" w:rsidRPr="1A6DFC8B">
        <w:rPr>
          <w:sz w:val="28"/>
          <w:szCs w:val="28"/>
        </w:rPr>
        <w:t>. It would also</w:t>
      </w:r>
      <w:r w:rsidR="4DF7D294" w:rsidRPr="1A6DFC8B">
        <w:rPr>
          <w:sz w:val="28"/>
          <w:szCs w:val="28"/>
        </w:rPr>
        <w:t xml:space="preserve"> bring over half a million households out of fuel poverty, compared to </w:t>
      </w:r>
      <w:r w:rsidR="6EBE2B2B" w:rsidRPr="1A6DFC8B">
        <w:rPr>
          <w:sz w:val="28"/>
          <w:szCs w:val="28"/>
        </w:rPr>
        <w:t>around</w:t>
      </w:r>
      <w:r w:rsidR="4DF7D294" w:rsidRPr="1A6DFC8B">
        <w:rPr>
          <w:sz w:val="28"/>
          <w:szCs w:val="28"/>
        </w:rPr>
        <w:t xml:space="preserve"> 220,000</w:t>
      </w:r>
      <w:r w:rsidR="3CDACD37" w:rsidRPr="1A6DFC8B">
        <w:rPr>
          <w:sz w:val="28"/>
          <w:szCs w:val="28"/>
        </w:rPr>
        <w:t xml:space="preserve"> under the current £150 WHD scheme.</w:t>
      </w:r>
    </w:p>
    <w:p w14:paraId="7711A609" w14:textId="49552561" w:rsidR="7E2D8D79" w:rsidRDefault="6E715BDB" w:rsidP="29468D37">
      <w:pPr>
        <w:pStyle w:val="ListParagraph"/>
        <w:spacing w:line="259" w:lineRule="auto"/>
        <w:ind w:left="1440"/>
        <w:rPr>
          <w:sz w:val="28"/>
          <w:szCs w:val="28"/>
        </w:rPr>
      </w:pPr>
      <w:r w:rsidRPr="29468D37">
        <w:rPr>
          <w:sz w:val="28"/>
          <w:szCs w:val="28"/>
        </w:rPr>
        <w:t xml:space="preserve"> </w:t>
      </w:r>
    </w:p>
    <w:p w14:paraId="26B0183A" w14:textId="709BC6CC" w:rsidR="7E2D8D79" w:rsidRDefault="2E62BF13" w:rsidP="29468D37">
      <w:pPr>
        <w:pStyle w:val="ListParagraph"/>
        <w:numPr>
          <w:ilvl w:val="0"/>
          <w:numId w:val="1"/>
        </w:numPr>
        <w:spacing w:line="259" w:lineRule="auto"/>
        <w:rPr>
          <w:sz w:val="28"/>
          <w:szCs w:val="28"/>
        </w:rPr>
      </w:pPr>
      <w:r w:rsidRPr="29468D37">
        <w:rPr>
          <w:b/>
          <w:bCs/>
          <w:sz w:val="28"/>
          <w:szCs w:val="28"/>
        </w:rPr>
        <w:t>Build</w:t>
      </w:r>
      <w:r w:rsidR="608DC033" w:rsidRPr="29468D37">
        <w:rPr>
          <w:b/>
          <w:bCs/>
          <w:sz w:val="28"/>
          <w:szCs w:val="28"/>
        </w:rPr>
        <w:t xml:space="preserve"> a new system of targeted bill support</w:t>
      </w:r>
      <w:r w:rsidR="7DA44EA1" w:rsidRPr="29468D37">
        <w:rPr>
          <w:b/>
          <w:bCs/>
          <w:sz w:val="28"/>
          <w:szCs w:val="28"/>
        </w:rPr>
        <w:t xml:space="preserve">, collaborating across departments, local authorities, Ofgem, and suppliers. </w:t>
      </w:r>
      <w:r w:rsidR="48179B65" w:rsidRPr="29468D37">
        <w:rPr>
          <w:sz w:val="28"/>
          <w:szCs w:val="28"/>
        </w:rPr>
        <w:t xml:space="preserve">With swift action, this </w:t>
      </w:r>
      <w:r w:rsidR="7D4990D9" w:rsidRPr="29468D37">
        <w:rPr>
          <w:sz w:val="28"/>
          <w:szCs w:val="28"/>
        </w:rPr>
        <w:t>process will take around 18 months to 2 years</w:t>
      </w:r>
      <w:r w:rsidR="482D54BA" w:rsidRPr="29468D37">
        <w:rPr>
          <w:sz w:val="28"/>
          <w:szCs w:val="28"/>
        </w:rPr>
        <w:t xml:space="preserve"> to set up and implement</w:t>
      </w:r>
      <w:r w:rsidR="1AF73E95" w:rsidRPr="29468D37">
        <w:rPr>
          <w:sz w:val="28"/>
          <w:szCs w:val="28"/>
        </w:rPr>
        <w:t xml:space="preserve"> by Winter 2027/28</w:t>
      </w:r>
      <w:r w:rsidR="482D54BA" w:rsidRPr="29468D37">
        <w:rPr>
          <w:sz w:val="28"/>
          <w:szCs w:val="28"/>
        </w:rPr>
        <w:t xml:space="preserve">. </w:t>
      </w:r>
    </w:p>
    <w:p w14:paraId="4ABD6BFE" w14:textId="63DB3890" w:rsidR="7E2D8D79" w:rsidRDefault="7D4990D9" w:rsidP="29468D37">
      <w:pPr>
        <w:pStyle w:val="ListParagraph"/>
        <w:numPr>
          <w:ilvl w:val="1"/>
          <w:numId w:val="1"/>
        </w:numPr>
        <w:spacing w:line="259" w:lineRule="auto"/>
        <w:rPr>
          <w:sz w:val="28"/>
          <w:szCs w:val="28"/>
        </w:rPr>
      </w:pPr>
      <w:r w:rsidRPr="29468D37">
        <w:rPr>
          <w:sz w:val="28"/>
          <w:szCs w:val="28"/>
        </w:rPr>
        <w:t>Launch the expected targeted bill support (also known as social tariff) consultation by Autumn 2025.</w:t>
      </w:r>
      <w:r w:rsidR="39F9145D" w:rsidRPr="29468D37">
        <w:rPr>
          <w:sz w:val="28"/>
          <w:szCs w:val="28"/>
        </w:rPr>
        <w:t xml:space="preserve"> </w:t>
      </w:r>
    </w:p>
    <w:p w14:paraId="6E1DC1E5" w14:textId="565CD199" w:rsidR="7E2D8D79" w:rsidRDefault="4B269653" w:rsidP="29468D37">
      <w:pPr>
        <w:pStyle w:val="ListParagraph"/>
        <w:numPr>
          <w:ilvl w:val="1"/>
          <w:numId w:val="1"/>
        </w:numPr>
        <w:spacing w:line="259" w:lineRule="auto"/>
        <w:rPr>
          <w:sz w:val="28"/>
          <w:szCs w:val="28"/>
        </w:rPr>
      </w:pPr>
      <w:r w:rsidRPr="29468D37">
        <w:rPr>
          <w:sz w:val="28"/>
          <w:szCs w:val="28"/>
        </w:rPr>
        <w:t>Ensure</w:t>
      </w:r>
      <w:r w:rsidR="4590E2F2" w:rsidRPr="29468D37">
        <w:rPr>
          <w:sz w:val="28"/>
          <w:szCs w:val="28"/>
        </w:rPr>
        <w:t xml:space="preserve"> the existing ministerial working group on data matching </w:t>
      </w:r>
      <w:r w:rsidR="445BBBEC" w:rsidRPr="29468D37">
        <w:rPr>
          <w:sz w:val="28"/>
          <w:szCs w:val="28"/>
        </w:rPr>
        <w:t>stays in place until the system is implemented, facilitating shared best practice and expertise across departments and suppliers, and supporting secondments where necessary.</w:t>
      </w:r>
      <w:r w:rsidR="2DCB4B5B" w:rsidRPr="29468D37">
        <w:rPr>
          <w:sz w:val="28"/>
          <w:szCs w:val="28"/>
        </w:rPr>
        <w:t xml:space="preserve"> </w:t>
      </w:r>
    </w:p>
    <w:p w14:paraId="3B0A12F9" w14:textId="0D8994DA" w:rsidR="7E2D8D79" w:rsidRDefault="7D4990D9" w:rsidP="29468D37">
      <w:pPr>
        <w:pStyle w:val="ListParagraph"/>
        <w:numPr>
          <w:ilvl w:val="1"/>
          <w:numId w:val="1"/>
        </w:numPr>
        <w:spacing w:line="259" w:lineRule="auto"/>
        <w:rPr>
          <w:sz w:val="28"/>
          <w:szCs w:val="28"/>
        </w:rPr>
      </w:pPr>
      <w:r w:rsidRPr="29468D37">
        <w:rPr>
          <w:sz w:val="28"/>
          <w:szCs w:val="28"/>
        </w:rPr>
        <w:t>Draft primary legislation</w:t>
      </w:r>
      <w:r w:rsidR="486988C5" w:rsidRPr="29468D37">
        <w:rPr>
          <w:sz w:val="28"/>
          <w:szCs w:val="28"/>
        </w:rPr>
        <w:t>,</w:t>
      </w:r>
      <w:r w:rsidRPr="29468D37">
        <w:rPr>
          <w:sz w:val="28"/>
          <w:szCs w:val="28"/>
        </w:rPr>
        <w:t xml:space="preserve"> </w:t>
      </w:r>
      <w:r w:rsidR="7EF37A8D" w:rsidRPr="29468D37">
        <w:rPr>
          <w:sz w:val="28"/>
          <w:szCs w:val="28"/>
        </w:rPr>
        <w:t>to update the Digital Economy Act 2017 for the purpose of wider data sharing for supporting vulnerable customers, over the rest of 2025 to launch and pass through parliament by the end of 2026.</w:t>
      </w:r>
    </w:p>
    <w:p w14:paraId="18B66501" w14:textId="289E50E0" w:rsidR="7E2D8D79" w:rsidRDefault="1457E3EC" w:rsidP="29468D37">
      <w:pPr>
        <w:pStyle w:val="ListParagraph"/>
        <w:numPr>
          <w:ilvl w:val="1"/>
          <w:numId w:val="1"/>
        </w:numPr>
        <w:spacing w:line="259" w:lineRule="auto"/>
        <w:rPr>
          <w:sz w:val="28"/>
          <w:szCs w:val="28"/>
        </w:rPr>
      </w:pPr>
      <w:r w:rsidRPr="29468D37">
        <w:rPr>
          <w:sz w:val="28"/>
          <w:szCs w:val="28"/>
        </w:rPr>
        <w:t>Appoint a</w:t>
      </w:r>
      <w:r w:rsidR="4F99A284" w:rsidRPr="29468D37">
        <w:rPr>
          <w:sz w:val="28"/>
          <w:szCs w:val="28"/>
        </w:rPr>
        <w:t xml:space="preserve"> </w:t>
      </w:r>
      <w:r w:rsidRPr="29468D37">
        <w:rPr>
          <w:sz w:val="28"/>
          <w:szCs w:val="28"/>
        </w:rPr>
        <w:t>trusted data processor (e.g. DWP or a third-party public body)</w:t>
      </w:r>
      <w:r w:rsidR="31488717" w:rsidRPr="29468D37">
        <w:rPr>
          <w:sz w:val="28"/>
          <w:szCs w:val="28"/>
        </w:rPr>
        <w:t xml:space="preserve"> in 2026</w:t>
      </w:r>
      <w:r w:rsidRPr="29468D37">
        <w:rPr>
          <w:sz w:val="28"/>
          <w:szCs w:val="28"/>
        </w:rPr>
        <w:t xml:space="preserve"> to assess eligibility and provide suppliers with redacted eligibility flags</w:t>
      </w:r>
      <w:r w:rsidR="0E3BD89A" w:rsidRPr="29468D37">
        <w:rPr>
          <w:sz w:val="28"/>
          <w:szCs w:val="28"/>
        </w:rPr>
        <w:t xml:space="preserve">. </w:t>
      </w:r>
    </w:p>
    <w:p w14:paraId="5E7A39C0" w14:textId="5997DE49" w:rsidR="7E2D8D79" w:rsidRDefault="0E3BD89A" w:rsidP="29468D37">
      <w:pPr>
        <w:pStyle w:val="ListParagraph"/>
        <w:numPr>
          <w:ilvl w:val="1"/>
          <w:numId w:val="1"/>
        </w:numPr>
        <w:spacing w:line="259" w:lineRule="auto"/>
      </w:pPr>
      <w:r w:rsidRPr="29468D37">
        <w:rPr>
          <w:sz w:val="28"/>
          <w:szCs w:val="28"/>
        </w:rPr>
        <w:t>Pilot triangulation of address data by cross-referencing council tax addresses, HMRC income records, and supplier data to support aggregating income data into households within 2026.</w:t>
      </w:r>
    </w:p>
    <w:p w14:paraId="68AA0013" w14:textId="68878A91" w:rsidR="7E2D8D79" w:rsidRDefault="487A15EA" w:rsidP="29468D37">
      <w:pPr>
        <w:pStyle w:val="ListParagraph"/>
        <w:numPr>
          <w:ilvl w:val="1"/>
          <w:numId w:val="1"/>
        </w:numPr>
        <w:spacing w:line="259" w:lineRule="auto"/>
        <w:rPr>
          <w:sz w:val="28"/>
          <w:szCs w:val="28"/>
        </w:rPr>
      </w:pPr>
      <w:r w:rsidRPr="29468D37">
        <w:rPr>
          <w:sz w:val="28"/>
          <w:szCs w:val="28"/>
        </w:rPr>
        <w:t>Complete aggregation of</w:t>
      </w:r>
      <w:r w:rsidR="0E3BD89A" w:rsidRPr="29468D37">
        <w:rPr>
          <w:sz w:val="28"/>
          <w:szCs w:val="28"/>
        </w:rPr>
        <w:t xml:space="preserve"> HMRC’s income data into households to improve accuracy of income-linked household targeting</w:t>
      </w:r>
      <w:r w:rsidR="56CAFE63" w:rsidRPr="29468D37">
        <w:rPr>
          <w:sz w:val="28"/>
          <w:szCs w:val="28"/>
        </w:rPr>
        <w:t xml:space="preserve"> by Spring 2027.</w:t>
      </w:r>
    </w:p>
    <w:p w14:paraId="1EBD3CA7" w14:textId="4BED2D65" w:rsidR="7E2D8D79" w:rsidRDefault="775FEF76" w:rsidP="29468D37">
      <w:pPr>
        <w:pStyle w:val="ListParagraph"/>
        <w:numPr>
          <w:ilvl w:val="1"/>
          <w:numId w:val="1"/>
        </w:numPr>
        <w:spacing w:line="259" w:lineRule="auto"/>
        <w:rPr>
          <w:sz w:val="28"/>
          <w:szCs w:val="28"/>
        </w:rPr>
      </w:pPr>
      <w:r w:rsidRPr="29468D37">
        <w:rPr>
          <w:sz w:val="28"/>
          <w:szCs w:val="28"/>
        </w:rPr>
        <w:t xml:space="preserve">As part of </w:t>
      </w:r>
      <w:r w:rsidR="3ED42BC3" w:rsidRPr="29468D37">
        <w:rPr>
          <w:sz w:val="28"/>
          <w:szCs w:val="28"/>
        </w:rPr>
        <w:t>the</w:t>
      </w:r>
      <w:r w:rsidRPr="29468D37">
        <w:rPr>
          <w:sz w:val="28"/>
          <w:szCs w:val="28"/>
        </w:rPr>
        <w:t xml:space="preserve"> bill allocation and affordability review</w:t>
      </w:r>
      <w:r w:rsidR="1B0EAF69" w:rsidRPr="29468D37">
        <w:rPr>
          <w:sz w:val="28"/>
          <w:szCs w:val="28"/>
        </w:rPr>
        <w:t xml:space="preserve"> announced in July 2025</w:t>
      </w:r>
      <w:r w:rsidRPr="29468D37">
        <w:rPr>
          <w:sz w:val="28"/>
          <w:szCs w:val="28"/>
        </w:rPr>
        <w:t>, Ofgem should consider the role of targeted bill support and</w:t>
      </w:r>
      <w:r w:rsidR="5CF45C6E" w:rsidRPr="29468D37">
        <w:rPr>
          <w:sz w:val="28"/>
          <w:szCs w:val="28"/>
        </w:rPr>
        <w:t xml:space="preserve"> </w:t>
      </w:r>
      <w:r w:rsidR="45E6B2E7" w:rsidRPr="29468D37">
        <w:rPr>
          <w:sz w:val="28"/>
          <w:szCs w:val="28"/>
        </w:rPr>
        <w:t xml:space="preserve">work with suppliers to introduce needs codes to the Priority Services </w:t>
      </w:r>
      <w:r w:rsidR="45E6B2E7" w:rsidRPr="29468D37">
        <w:rPr>
          <w:sz w:val="28"/>
          <w:szCs w:val="28"/>
        </w:rPr>
        <w:lastRenderedPageBreak/>
        <w:t>Register which indicates what support they would benefit from.</w:t>
      </w:r>
      <w:r w:rsidR="4AE1CBB5" w:rsidRPr="29468D37">
        <w:rPr>
          <w:sz w:val="28"/>
          <w:szCs w:val="28"/>
        </w:rPr>
        <w:t xml:space="preserve"> Ofgem should</w:t>
      </w:r>
      <w:r w:rsidRPr="29468D37">
        <w:rPr>
          <w:sz w:val="28"/>
          <w:szCs w:val="28"/>
        </w:rPr>
        <w:t xml:space="preserve"> </w:t>
      </w:r>
      <w:r w:rsidR="7AAF90EA" w:rsidRPr="29468D37">
        <w:rPr>
          <w:sz w:val="28"/>
          <w:szCs w:val="28"/>
        </w:rPr>
        <w:t xml:space="preserve">undertake an analysis of potential health-based needs codes and the data required to qualify them, working with partners in the healthcare industry and suppliers on how that data can be used.  </w:t>
      </w:r>
    </w:p>
    <w:p w14:paraId="5524C8A2" w14:textId="533EBE9F" w:rsidR="7E2D8D79" w:rsidRDefault="7171EBEF" w:rsidP="29468D37">
      <w:pPr>
        <w:pStyle w:val="ListParagraph"/>
        <w:numPr>
          <w:ilvl w:val="1"/>
          <w:numId w:val="1"/>
        </w:numPr>
        <w:spacing w:line="259" w:lineRule="auto"/>
        <w:rPr>
          <w:sz w:val="28"/>
          <w:szCs w:val="28"/>
        </w:rPr>
      </w:pPr>
      <w:r w:rsidRPr="29468D37">
        <w:rPr>
          <w:sz w:val="28"/>
          <w:szCs w:val="28"/>
        </w:rPr>
        <w:t>Implement lessons</w:t>
      </w:r>
      <w:r w:rsidR="7D85E382" w:rsidRPr="29468D37">
        <w:rPr>
          <w:sz w:val="28"/>
          <w:szCs w:val="28"/>
        </w:rPr>
        <w:t xml:space="preserve"> from </w:t>
      </w:r>
      <w:r w:rsidR="2BFF5B97" w:rsidRPr="29468D37">
        <w:rPr>
          <w:sz w:val="28"/>
          <w:szCs w:val="28"/>
        </w:rPr>
        <w:t xml:space="preserve">the Warm Homes Prescription pilots </w:t>
      </w:r>
      <w:r w:rsidR="7D85E382" w:rsidRPr="29468D37">
        <w:rPr>
          <w:sz w:val="28"/>
          <w:szCs w:val="28"/>
        </w:rPr>
        <w:t>and consider how suppliers and health providers can scale social prescribing as a route to identifying vulnerable customers for targeted bill support</w:t>
      </w:r>
      <w:r w:rsidR="762B3F34" w:rsidRPr="29468D37">
        <w:rPr>
          <w:sz w:val="28"/>
          <w:szCs w:val="28"/>
        </w:rPr>
        <w:t xml:space="preserve"> throughout 2026 and 2027.</w:t>
      </w:r>
    </w:p>
    <w:p w14:paraId="69D47672" w14:textId="0C9150F4" w:rsidR="7E2D8D79" w:rsidRDefault="26E623D4" w:rsidP="29468D37">
      <w:pPr>
        <w:pStyle w:val="ListParagraph"/>
        <w:numPr>
          <w:ilvl w:val="1"/>
          <w:numId w:val="1"/>
        </w:numPr>
        <w:spacing w:line="259" w:lineRule="auto"/>
        <w:rPr>
          <w:sz w:val="28"/>
          <w:szCs w:val="28"/>
        </w:rPr>
      </w:pPr>
      <w:r w:rsidRPr="29468D37">
        <w:rPr>
          <w:sz w:val="28"/>
          <w:szCs w:val="28"/>
        </w:rPr>
        <w:t xml:space="preserve">Invest in </w:t>
      </w:r>
      <w:r w:rsidR="1BBDB9D1" w:rsidRPr="29468D37">
        <w:rPr>
          <w:sz w:val="28"/>
          <w:szCs w:val="28"/>
        </w:rPr>
        <w:t xml:space="preserve">building </w:t>
      </w:r>
      <w:r w:rsidRPr="29468D37">
        <w:rPr>
          <w:sz w:val="28"/>
          <w:szCs w:val="28"/>
        </w:rPr>
        <w:t>inclusive, well-designed self-referral tools that allow households experiencing sudden life shocks (e.g. bereavement, redundancy) to access targeted bill support.</w:t>
      </w:r>
    </w:p>
    <w:p w14:paraId="766B6578" w14:textId="1379C1EE" w:rsidR="7E2D8D79" w:rsidRDefault="2E062B15" w:rsidP="29468D37">
      <w:pPr>
        <w:spacing w:line="259" w:lineRule="auto"/>
        <w:rPr>
          <w:sz w:val="28"/>
          <w:szCs w:val="28"/>
        </w:rPr>
      </w:pPr>
      <w:r w:rsidRPr="29468D37">
        <w:rPr>
          <w:sz w:val="28"/>
          <w:szCs w:val="28"/>
        </w:rPr>
        <w:t>An estimated timeline of these actions is presented below.</w:t>
      </w:r>
    </w:p>
    <w:p w14:paraId="0EA44558" w14:textId="7B371DE3" w:rsidR="29468D37" w:rsidRDefault="29468D37">
      <w:r>
        <w:br w:type="page"/>
      </w:r>
    </w:p>
    <w:p w14:paraId="2987871C" w14:textId="68D52486" w:rsidR="34DB06EA" w:rsidRDefault="34DB06EA" w:rsidP="29468D37">
      <w:pPr>
        <w:spacing w:line="259" w:lineRule="auto"/>
        <w:rPr>
          <w:b/>
          <w:bCs/>
          <w:sz w:val="28"/>
          <w:szCs w:val="28"/>
        </w:rPr>
      </w:pPr>
      <w:r w:rsidRPr="29468D37">
        <w:rPr>
          <w:b/>
          <w:bCs/>
          <w:sz w:val="28"/>
          <w:szCs w:val="28"/>
        </w:rPr>
        <w:lastRenderedPageBreak/>
        <w:t>Table 4:</w:t>
      </w:r>
      <w:r w:rsidR="3354FE49" w:rsidRPr="29468D37">
        <w:rPr>
          <w:b/>
          <w:bCs/>
          <w:sz w:val="28"/>
          <w:szCs w:val="28"/>
        </w:rPr>
        <w:t xml:space="preserve"> </w:t>
      </w:r>
      <w:r w:rsidR="283128C8" w:rsidRPr="29468D37">
        <w:rPr>
          <w:b/>
          <w:bCs/>
          <w:sz w:val="28"/>
          <w:szCs w:val="28"/>
        </w:rPr>
        <w:t>Summary of policy recommendations and timeline</w:t>
      </w:r>
    </w:p>
    <w:p w14:paraId="0CC7E180" w14:textId="667F603F" w:rsidR="002E2444" w:rsidRPr="00A4313C" w:rsidRDefault="00C67B41" w:rsidP="29468D37">
      <w:pPr>
        <w:spacing w:line="259" w:lineRule="auto"/>
        <w:rPr>
          <w:b/>
          <w:bCs/>
          <w:sz w:val="36"/>
          <w:szCs w:val="36"/>
        </w:rPr>
      </w:pPr>
      <w:r w:rsidRPr="00A4313C">
        <w:rPr>
          <w:sz w:val="28"/>
          <w:szCs w:val="28"/>
        </w:rPr>
        <w:t>Note: For accessibility, the x denotes a coloured square in the timeline.</w:t>
      </w:r>
    </w:p>
    <w:tbl>
      <w:tblPr>
        <w:tblStyle w:val="TableGrid"/>
        <w:tblW w:w="10200" w:type="dxa"/>
        <w:tblLayout w:type="fixed"/>
        <w:tblLook w:val="06A0" w:firstRow="1" w:lastRow="0" w:firstColumn="1" w:lastColumn="0" w:noHBand="1" w:noVBand="1"/>
      </w:tblPr>
      <w:tblGrid>
        <w:gridCol w:w="4248"/>
        <w:gridCol w:w="2457"/>
        <w:gridCol w:w="855"/>
        <w:gridCol w:w="884"/>
        <w:gridCol w:w="882"/>
        <w:gridCol w:w="874"/>
      </w:tblGrid>
      <w:tr w:rsidR="005C42DB" w14:paraId="118D6022" w14:textId="77777777" w:rsidTr="00BB4E1C">
        <w:trPr>
          <w:trHeight w:val="300"/>
        </w:trPr>
        <w:tc>
          <w:tcPr>
            <w:tcW w:w="4248" w:type="dxa"/>
          </w:tcPr>
          <w:p w14:paraId="09BA1F66" w14:textId="77777777" w:rsidR="005C42DB" w:rsidRDefault="005C42DB" w:rsidP="00BB4E1C">
            <w:pPr>
              <w:rPr>
                <w:b/>
                <w:bCs/>
                <w:sz w:val="25"/>
                <w:szCs w:val="25"/>
              </w:rPr>
            </w:pPr>
            <w:bookmarkStart w:id="28" w:name="_f59el25jr8cj" w:colFirst="0" w:colLast="0"/>
            <w:bookmarkStart w:id="29" w:name="_Toc202861067"/>
            <w:bookmarkEnd w:id="28"/>
            <w:r w:rsidRPr="1A6DFC8B">
              <w:rPr>
                <w:b/>
                <w:bCs/>
                <w:sz w:val="25"/>
                <w:szCs w:val="25"/>
              </w:rPr>
              <w:t>Action</w:t>
            </w:r>
          </w:p>
        </w:tc>
        <w:tc>
          <w:tcPr>
            <w:tcW w:w="2457" w:type="dxa"/>
          </w:tcPr>
          <w:p w14:paraId="44533CE8" w14:textId="77777777" w:rsidR="005C42DB" w:rsidRDefault="005C42DB" w:rsidP="00BB4E1C">
            <w:pPr>
              <w:rPr>
                <w:b/>
                <w:bCs/>
                <w:sz w:val="25"/>
                <w:szCs w:val="25"/>
              </w:rPr>
            </w:pPr>
            <w:r w:rsidRPr="1A6DFC8B">
              <w:rPr>
                <w:b/>
                <w:bCs/>
                <w:sz w:val="25"/>
                <w:szCs w:val="25"/>
              </w:rPr>
              <w:t>Responsibility</w:t>
            </w:r>
          </w:p>
        </w:tc>
        <w:tc>
          <w:tcPr>
            <w:tcW w:w="855" w:type="dxa"/>
          </w:tcPr>
          <w:p w14:paraId="48547A9B" w14:textId="77777777" w:rsidR="005C42DB" w:rsidRDefault="005C42DB" w:rsidP="00BB4E1C">
            <w:pPr>
              <w:rPr>
                <w:b/>
                <w:bCs/>
                <w:sz w:val="25"/>
                <w:szCs w:val="25"/>
              </w:rPr>
            </w:pPr>
            <w:r w:rsidRPr="1A6DFC8B">
              <w:rPr>
                <w:b/>
                <w:bCs/>
                <w:sz w:val="25"/>
                <w:szCs w:val="25"/>
              </w:rPr>
              <w:t>2025</w:t>
            </w:r>
          </w:p>
        </w:tc>
        <w:tc>
          <w:tcPr>
            <w:tcW w:w="884" w:type="dxa"/>
          </w:tcPr>
          <w:p w14:paraId="6BF05C7B" w14:textId="77777777" w:rsidR="005C42DB" w:rsidRDefault="005C42DB" w:rsidP="00BB4E1C">
            <w:pPr>
              <w:rPr>
                <w:b/>
                <w:bCs/>
                <w:sz w:val="25"/>
                <w:szCs w:val="25"/>
              </w:rPr>
            </w:pPr>
            <w:r w:rsidRPr="1A6DFC8B">
              <w:rPr>
                <w:b/>
                <w:bCs/>
                <w:sz w:val="25"/>
                <w:szCs w:val="25"/>
              </w:rPr>
              <w:t>2026</w:t>
            </w:r>
          </w:p>
        </w:tc>
        <w:tc>
          <w:tcPr>
            <w:tcW w:w="882" w:type="dxa"/>
          </w:tcPr>
          <w:p w14:paraId="7F18C228" w14:textId="77777777" w:rsidR="005C42DB" w:rsidRDefault="005C42DB" w:rsidP="00BB4E1C">
            <w:pPr>
              <w:rPr>
                <w:b/>
                <w:bCs/>
                <w:sz w:val="25"/>
                <w:szCs w:val="25"/>
              </w:rPr>
            </w:pPr>
            <w:r w:rsidRPr="1A6DFC8B">
              <w:rPr>
                <w:b/>
                <w:bCs/>
                <w:sz w:val="25"/>
                <w:szCs w:val="25"/>
              </w:rPr>
              <w:t>2027</w:t>
            </w:r>
          </w:p>
        </w:tc>
        <w:tc>
          <w:tcPr>
            <w:tcW w:w="874" w:type="dxa"/>
          </w:tcPr>
          <w:p w14:paraId="73DD72E3" w14:textId="77777777" w:rsidR="005C42DB" w:rsidRDefault="005C42DB" w:rsidP="00BB4E1C">
            <w:pPr>
              <w:rPr>
                <w:b/>
                <w:bCs/>
                <w:sz w:val="25"/>
                <w:szCs w:val="25"/>
              </w:rPr>
            </w:pPr>
            <w:r w:rsidRPr="1A6DFC8B">
              <w:rPr>
                <w:b/>
                <w:bCs/>
                <w:sz w:val="25"/>
                <w:szCs w:val="25"/>
              </w:rPr>
              <w:t>2028</w:t>
            </w:r>
          </w:p>
        </w:tc>
      </w:tr>
      <w:tr w:rsidR="005C42DB" w14:paraId="4164BB81" w14:textId="77777777" w:rsidTr="00BB4E1C">
        <w:trPr>
          <w:trHeight w:val="300"/>
        </w:trPr>
        <w:tc>
          <w:tcPr>
            <w:tcW w:w="4248" w:type="dxa"/>
          </w:tcPr>
          <w:p w14:paraId="77ADC0F4" w14:textId="77777777" w:rsidR="005C42DB" w:rsidRDefault="005C42DB" w:rsidP="00BB4E1C">
            <w:pPr>
              <w:rPr>
                <w:sz w:val="25"/>
                <w:szCs w:val="25"/>
              </w:rPr>
            </w:pPr>
            <w:r w:rsidRPr="1A6DFC8B">
              <w:rPr>
                <w:color w:val="000000" w:themeColor="text1"/>
                <w:sz w:val="25"/>
                <w:szCs w:val="25"/>
              </w:rPr>
              <w:t>Extend the WHD to April 2027, increasing eligibility value to £400 plus booster payments</w:t>
            </w:r>
          </w:p>
        </w:tc>
        <w:tc>
          <w:tcPr>
            <w:tcW w:w="2457" w:type="dxa"/>
          </w:tcPr>
          <w:p w14:paraId="5FD05137" w14:textId="77777777" w:rsidR="005C42DB" w:rsidRDefault="005C42DB" w:rsidP="00BB4E1C">
            <w:pPr>
              <w:rPr>
                <w:sz w:val="25"/>
                <w:szCs w:val="25"/>
              </w:rPr>
            </w:pPr>
            <w:r w:rsidRPr="1A6DFC8B">
              <w:rPr>
                <w:sz w:val="25"/>
                <w:szCs w:val="25"/>
              </w:rPr>
              <w:t>DESNZ/HMT</w:t>
            </w:r>
          </w:p>
        </w:tc>
        <w:tc>
          <w:tcPr>
            <w:tcW w:w="855" w:type="dxa"/>
            <w:shd w:val="clear" w:color="auto" w:fill="173162"/>
            <w:vAlign w:val="center"/>
          </w:tcPr>
          <w:p w14:paraId="55C89F7E" w14:textId="77777777" w:rsidR="005C42DB" w:rsidRDefault="005C42DB" w:rsidP="00BB4E1C">
            <w:pPr>
              <w:jc w:val="center"/>
              <w:rPr>
                <w:sz w:val="25"/>
                <w:szCs w:val="25"/>
              </w:rPr>
            </w:pPr>
            <w:r>
              <w:rPr>
                <w:sz w:val="25"/>
                <w:szCs w:val="25"/>
              </w:rPr>
              <w:t>x</w:t>
            </w:r>
          </w:p>
        </w:tc>
        <w:tc>
          <w:tcPr>
            <w:tcW w:w="884" w:type="dxa"/>
            <w:vAlign w:val="center"/>
          </w:tcPr>
          <w:p w14:paraId="0C9B8FED" w14:textId="77777777" w:rsidR="005C42DB" w:rsidRDefault="005C42DB" w:rsidP="00BB4E1C">
            <w:pPr>
              <w:jc w:val="center"/>
              <w:rPr>
                <w:sz w:val="25"/>
                <w:szCs w:val="25"/>
              </w:rPr>
            </w:pPr>
          </w:p>
        </w:tc>
        <w:tc>
          <w:tcPr>
            <w:tcW w:w="882" w:type="dxa"/>
            <w:vAlign w:val="center"/>
          </w:tcPr>
          <w:p w14:paraId="46ED20D5" w14:textId="77777777" w:rsidR="005C42DB" w:rsidRDefault="005C42DB" w:rsidP="00BB4E1C">
            <w:pPr>
              <w:jc w:val="center"/>
              <w:rPr>
                <w:sz w:val="25"/>
                <w:szCs w:val="25"/>
              </w:rPr>
            </w:pPr>
          </w:p>
        </w:tc>
        <w:tc>
          <w:tcPr>
            <w:tcW w:w="874" w:type="dxa"/>
            <w:vAlign w:val="center"/>
          </w:tcPr>
          <w:p w14:paraId="12116BE4" w14:textId="77777777" w:rsidR="005C42DB" w:rsidRDefault="005C42DB" w:rsidP="00BB4E1C">
            <w:pPr>
              <w:jc w:val="center"/>
              <w:rPr>
                <w:sz w:val="25"/>
                <w:szCs w:val="25"/>
              </w:rPr>
            </w:pPr>
          </w:p>
        </w:tc>
      </w:tr>
      <w:tr w:rsidR="005C42DB" w14:paraId="692690A6" w14:textId="77777777" w:rsidTr="00BB4E1C">
        <w:trPr>
          <w:trHeight w:val="300"/>
        </w:trPr>
        <w:tc>
          <w:tcPr>
            <w:tcW w:w="4248" w:type="dxa"/>
          </w:tcPr>
          <w:p w14:paraId="507A2E1C" w14:textId="77777777" w:rsidR="005C42DB" w:rsidRDefault="005C42DB" w:rsidP="00BB4E1C">
            <w:pPr>
              <w:rPr>
                <w:sz w:val="25"/>
                <w:szCs w:val="25"/>
              </w:rPr>
            </w:pPr>
            <w:r w:rsidRPr="1A6DFC8B">
              <w:rPr>
                <w:sz w:val="25"/>
                <w:szCs w:val="25"/>
              </w:rPr>
              <w:t>Launch the target bill support consultation by Autumn 2025</w:t>
            </w:r>
          </w:p>
        </w:tc>
        <w:tc>
          <w:tcPr>
            <w:tcW w:w="2457" w:type="dxa"/>
          </w:tcPr>
          <w:p w14:paraId="7A47D7BD" w14:textId="77777777" w:rsidR="005C42DB" w:rsidRDefault="005C42DB" w:rsidP="00BB4E1C">
            <w:pPr>
              <w:rPr>
                <w:sz w:val="25"/>
                <w:szCs w:val="25"/>
              </w:rPr>
            </w:pPr>
            <w:r w:rsidRPr="1A6DFC8B">
              <w:rPr>
                <w:sz w:val="25"/>
                <w:szCs w:val="25"/>
              </w:rPr>
              <w:t>DESNZ</w:t>
            </w:r>
          </w:p>
        </w:tc>
        <w:tc>
          <w:tcPr>
            <w:tcW w:w="855" w:type="dxa"/>
            <w:shd w:val="clear" w:color="auto" w:fill="173162"/>
            <w:vAlign w:val="center"/>
          </w:tcPr>
          <w:p w14:paraId="312C5942" w14:textId="77777777" w:rsidR="005C42DB" w:rsidRPr="007F03CD" w:rsidRDefault="005C42DB" w:rsidP="00BB4E1C">
            <w:pPr>
              <w:jc w:val="center"/>
              <w:rPr>
                <w:sz w:val="25"/>
                <w:szCs w:val="25"/>
              </w:rPr>
            </w:pPr>
            <w:r w:rsidRPr="007F03CD">
              <w:rPr>
                <w:sz w:val="25"/>
                <w:szCs w:val="25"/>
              </w:rPr>
              <w:t>x</w:t>
            </w:r>
          </w:p>
        </w:tc>
        <w:tc>
          <w:tcPr>
            <w:tcW w:w="884" w:type="dxa"/>
            <w:vAlign w:val="center"/>
          </w:tcPr>
          <w:p w14:paraId="0D690C86" w14:textId="77777777" w:rsidR="005C42DB" w:rsidRPr="007F03CD" w:rsidRDefault="005C42DB" w:rsidP="00BB4E1C">
            <w:pPr>
              <w:jc w:val="center"/>
              <w:rPr>
                <w:sz w:val="25"/>
                <w:szCs w:val="25"/>
              </w:rPr>
            </w:pPr>
          </w:p>
        </w:tc>
        <w:tc>
          <w:tcPr>
            <w:tcW w:w="882" w:type="dxa"/>
            <w:vAlign w:val="center"/>
          </w:tcPr>
          <w:p w14:paraId="12123877" w14:textId="77777777" w:rsidR="005C42DB" w:rsidRPr="007F03CD" w:rsidRDefault="005C42DB" w:rsidP="00BB4E1C">
            <w:pPr>
              <w:jc w:val="center"/>
              <w:rPr>
                <w:sz w:val="25"/>
                <w:szCs w:val="25"/>
              </w:rPr>
            </w:pPr>
          </w:p>
        </w:tc>
        <w:tc>
          <w:tcPr>
            <w:tcW w:w="874" w:type="dxa"/>
            <w:vAlign w:val="center"/>
          </w:tcPr>
          <w:p w14:paraId="600CE127" w14:textId="77777777" w:rsidR="005C42DB" w:rsidRPr="007F03CD" w:rsidRDefault="005C42DB" w:rsidP="00BB4E1C">
            <w:pPr>
              <w:jc w:val="center"/>
              <w:rPr>
                <w:sz w:val="25"/>
                <w:szCs w:val="25"/>
              </w:rPr>
            </w:pPr>
          </w:p>
        </w:tc>
      </w:tr>
      <w:tr w:rsidR="005C42DB" w14:paraId="4FD7310B" w14:textId="77777777" w:rsidTr="00BB4E1C">
        <w:trPr>
          <w:trHeight w:val="300"/>
        </w:trPr>
        <w:tc>
          <w:tcPr>
            <w:tcW w:w="4248" w:type="dxa"/>
          </w:tcPr>
          <w:p w14:paraId="07881756" w14:textId="77777777" w:rsidR="005C42DB" w:rsidRDefault="005C42DB" w:rsidP="00BB4E1C">
            <w:pPr>
              <w:rPr>
                <w:sz w:val="25"/>
                <w:szCs w:val="25"/>
              </w:rPr>
            </w:pPr>
            <w:r w:rsidRPr="1A6DFC8B">
              <w:rPr>
                <w:sz w:val="25"/>
                <w:szCs w:val="25"/>
              </w:rPr>
              <w:t>Keep ministerial working group on data matching in place until full implementation</w:t>
            </w:r>
          </w:p>
        </w:tc>
        <w:tc>
          <w:tcPr>
            <w:tcW w:w="2457" w:type="dxa"/>
          </w:tcPr>
          <w:p w14:paraId="0AF3E85B" w14:textId="77777777" w:rsidR="005C42DB" w:rsidRDefault="005C42DB" w:rsidP="00BB4E1C">
            <w:pPr>
              <w:rPr>
                <w:sz w:val="25"/>
                <w:szCs w:val="25"/>
              </w:rPr>
            </w:pPr>
            <w:r w:rsidRPr="1A6DFC8B">
              <w:rPr>
                <w:sz w:val="25"/>
                <w:szCs w:val="25"/>
              </w:rPr>
              <w:t>DESNZ</w:t>
            </w:r>
          </w:p>
        </w:tc>
        <w:tc>
          <w:tcPr>
            <w:tcW w:w="855" w:type="dxa"/>
            <w:shd w:val="clear" w:color="auto" w:fill="173162"/>
            <w:vAlign w:val="center"/>
          </w:tcPr>
          <w:p w14:paraId="4A25A1AE" w14:textId="77777777" w:rsidR="005C42DB" w:rsidRPr="007F03CD" w:rsidRDefault="005C42DB" w:rsidP="00BB4E1C">
            <w:pPr>
              <w:jc w:val="center"/>
              <w:rPr>
                <w:sz w:val="25"/>
                <w:szCs w:val="25"/>
              </w:rPr>
            </w:pPr>
            <w:r w:rsidRPr="007F03CD">
              <w:rPr>
                <w:sz w:val="25"/>
                <w:szCs w:val="25"/>
              </w:rPr>
              <w:t>x</w:t>
            </w:r>
          </w:p>
        </w:tc>
        <w:tc>
          <w:tcPr>
            <w:tcW w:w="884" w:type="dxa"/>
            <w:shd w:val="clear" w:color="auto" w:fill="173162"/>
            <w:vAlign w:val="center"/>
          </w:tcPr>
          <w:p w14:paraId="20B87A03" w14:textId="77777777" w:rsidR="005C42DB" w:rsidRPr="007F03CD" w:rsidRDefault="005C42DB" w:rsidP="00BB4E1C">
            <w:pPr>
              <w:jc w:val="center"/>
              <w:rPr>
                <w:sz w:val="25"/>
                <w:szCs w:val="25"/>
              </w:rPr>
            </w:pPr>
            <w:r w:rsidRPr="007F03CD">
              <w:rPr>
                <w:sz w:val="25"/>
                <w:szCs w:val="25"/>
              </w:rPr>
              <w:t>x</w:t>
            </w:r>
          </w:p>
        </w:tc>
        <w:tc>
          <w:tcPr>
            <w:tcW w:w="882" w:type="dxa"/>
            <w:shd w:val="clear" w:color="auto" w:fill="173162"/>
            <w:vAlign w:val="center"/>
          </w:tcPr>
          <w:p w14:paraId="602D8AD9" w14:textId="77777777" w:rsidR="005C42DB" w:rsidRPr="007F03CD" w:rsidRDefault="005C42DB" w:rsidP="00BB4E1C">
            <w:pPr>
              <w:jc w:val="center"/>
              <w:rPr>
                <w:sz w:val="25"/>
                <w:szCs w:val="25"/>
              </w:rPr>
            </w:pPr>
            <w:r w:rsidRPr="007F03CD">
              <w:rPr>
                <w:sz w:val="25"/>
                <w:szCs w:val="25"/>
              </w:rPr>
              <w:t>x</w:t>
            </w:r>
          </w:p>
        </w:tc>
        <w:tc>
          <w:tcPr>
            <w:tcW w:w="874" w:type="dxa"/>
            <w:shd w:val="clear" w:color="auto" w:fill="173162"/>
            <w:vAlign w:val="center"/>
          </w:tcPr>
          <w:p w14:paraId="4E3484CB" w14:textId="77777777" w:rsidR="005C42DB" w:rsidRPr="007F03CD" w:rsidRDefault="005C42DB" w:rsidP="00BB4E1C">
            <w:pPr>
              <w:jc w:val="center"/>
              <w:rPr>
                <w:sz w:val="25"/>
                <w:szCs w:val="25"/>
              </w:rPr>
            </w:pPr>
            <w:r w:rsidRPr="007F03CD">
              <w:rPr>
                <w:sz w:val="25"/>
                <w:szCs w:val="25"/>
              </w:rPr>
              <w:t>x</w:t>
            </w:r>
          </w:p>
        </w:tc>
      </w:tr>
      <w:tr w:rsidR="005C42DB" w14:paraId="35623AF1" w14:textId="77777777" w:rsidTr="00BB4E1C">
        <w:trPr>
          <w:trHeight w:val="300"/>
        </w:trPr>
        <w:tc>
          <w:tcPr>
            <w:tcW w:w="4248" w:type="dxa"/>
          </w:tcPr>
          <w:p w14:paraId="0D814FE9" w14:textId="77777777" w:rsidR="005C42DB" w:rsidRDefault="005C42DB" w:rsidP="00BB4E1C">
            <w:pPr>
              <w:rPr>
                <w:sz w:val="25"/>
                <w:szCs w:val="25"/>
              </w:rPr>
            </w:pPr>
            <w:r w:rsidRPr="1A6DFC8B">
              <w:rPr>
                <w:sz w:val="25"/>
                <w:szCs w:val="25"/>
              </w:rPr>
              <w:t>Draft primary legislation to update the Digital Economy Act 2017</w:t>
            </w:r>
          </w:p>
        </w:tc>
        <w:tc>
          <w:tcPr>
            <w:tcW w:w="2457" w:type="dxa"/>
          </w:tcPr>
          <w:p w14:paraId="34E35A1D" w14:textId="77777777" w:rsidR="005C42DB" w:rsidRDefault="005C42DB" w:rsidP="00BB4E1C">
            <w:pPr>
              <w:rPr>
                <w:sz w:val="25"/>
                <w:szCs w:val="25"/>
              </w:rPr>
            </w:pPr>
            <w:r w:rsidRPr="1A6DFC8B">
              <w:rPr>
                <w:sz w:val="25"/>
                <w:szCs w:val="25"/>
              </w:rPr>
              <w:t>DESNZ</w:t>
            </w:r>
          </w:p>
        </w:tc>
        <w:tc>
          <w:tcPr>
            <w:tcW w:w="855" w:type="dxa"/>
            <w:shd w:val="clear" w:color="auto" w:fill="173162"/>
            <w:vAlign w:val="center"/>
          </w:tcPr>
          <w:p w14:paraId="1104D46B" w14:textId="77777777" w:rsidR="005C42DB" w:rsidRPr="007F03CD" w:rsidRDefault="005C42DB" w:rsidP="00BB4E1C">
            <w:pPr>
              <w:jc w:val="center"/>
              <w:rPr>
                <w:sz w:val="25"/>
                <w:szCs w:val="25"/>
              </w:rPr>
            </w:pPr>
            <w:r w:rsidRPr="007F03CD">
              <w:rPr>
                <w:sz w:val="25"/>
                <w:szCs w:val="25"/>
              </w:rPr>
              <w:t>x</w:t>
            </w:r>
          </w:p>
        </w:tc>
        <w:tc>
          <w:tcPr>
            <w:tcW w:w="884" w:type="dxa"/>
            <w:vAlign w:val="center"/>
          </w:tcPr>
          <w:p w14:paraId="0155C419" w14:textId="77777777" w:rsidR="005C42DB" w:rsidRPr="007F03CD" w:rsidRDefault="005C42DB" w:rsidP="00BB4E1C">
            <w:pPr>
              <w:jc w:val="center"/>
              <w:rPr>
                <w:sz w:val="25"/>
                <w:szCs w:val="25"/>
              </w:rPr>
            </w:pPr>
          </w:p>
        </w:tc>
        <w:tc>
          <w:tcPr>
            <w:tcW w:w="882" w:type="dxa"/>
            <w:vAlign w:val="center"/>
          </w:tcPr>
          <w:p w14:paraId="5250A189" w14:textId="77777777" w:rsidR="005C42DB" w:rsidRPr="007F03CD" w:rsidRDefault="005C42DB" w:rsidP="00BB4E1C">
            <w:pPr>
              <w:jc w:val="center"/>
              <w:rPr>
                <w:sz w:val="25"/>
                <w:szCs w:val="25"/>
              </w:rPr>
            </w:pPr>
          </w:p>
        </w:tc>
        <w:tc>
          <w:tcPr>
            <w:tcW w:w="874" w:type="dxa"/>
            <w:vAlign w:val="center"/>
          </w:tcPr>
          <w:p w14:paraId="7A51F649" w14:textId="77777777" w:rsidR="005C42DB" w:rsidRPr="007F03CD" w:rsidRDefault="005C42DB" w:rsidP="00BB4E1C">
            <w:pPr>
              <w:jc w:val="center"/>
              <w:rPr>
                <w:sz w:val="25"/>
                <w:szCs w:val="25"/>
              </w:rPr>
            </w:pPr>
          </w:p>
        </w:tc>
      </w:tr>
      <w:tr w:rsidR="005C42DB" w14:paraId="2502763E" w14:textId="77777777" w:rsidTr="00BB4E1C">
        <w:trPr>
          <w:trHeight w:val="300"/>
        </w:trPr>
        <w:tc>
          <w:tcPr>
            <w:tcW w:w="4248" w:type="dxa"/>
          </w:tcPr>
          <w:p w14:paraId="147C0319" w14:textId="77777777" w:rsidR="005C42DB" w:rsidRDefault="005C42DB" w:rsidP="00BB4E1C">
            <w:pPr>
              <w:rPr>
                <w:sz w:val="25"/>
                <w:szCs w:val="25"/>
              </w:rPr>
            </w:pPr>
            <w:r w:rsidRPr="1A6DFC8B">
              <w:rPr>
                <w:sz w:val="25"/>
                <w:szCs w:val="25"/>
              </w:rPr>
              <w:t>Pass the legislation through parliament</w:t>
            </w:r>
          </w:p>
        </w:tc>
        <w:tc>
          <w:tcPr>
            <w:tcW w:w="2457" w:type="dxa"/>
          </w:tcPr>
          <w:p w14:paraId="748F9DDC" w14:textId="77777777" w:rsidR="005C42DB" w:rsidRDefault="005C42DB" w:rsidP="00BB4E1C">
            <w:pPr>
              <w:rPr>
                <w:sz w:val="25"/>
                <w:szCs w:val="25"/>
              </w:rPr>
            </w:pPr>
            <w:r w:rsidRPr="1A6DFC8B">
              <w:rPr>
                <w:sz w:val="25"/>
                <w:szCs w:val="25"/>
              </w:rPr>
              <w:t>DESNZ</w:t>
            </w:r>
          </w:p>
        </w:tc>
        <w:tc>
          <w:tcPr>
            <w:tcW w:w="855" w:type="dxa"/>
            <w:vAlign w:val="center"/>
          </w:tcPr>
          <w:p w14:paraId="44A80193" w14:textId="77777777" w:rsidR="005C42DB" w:rsidRPr="007F03CD" w:rsidRDefault="005C42DB" w:rsidP="00BB4E1C">
            <w:pPr>
              <w:jc w:val="center"/>
              <w:rPr>
                <w:sz w:val="25"/>
                <w:szCs w:val="25"/>
              </w:rPr>
            </w:pPr>
          </w:p>
        </w:tc>
        <w:tc>
          <w:tcPr>
            <w:tcW w:w="884" w:type="dxa"/>
            <w:shd w:val="clear" w:color="auto" w:fill="173162"/>
            <w:vAlign w:val="center"/>
          </w:tcPr>
          <w:p w14:paraId="7C513998" w14:textId="77777777" w:rsidR="005C42DB" w:rsidRPr="007F03CD" w:rsidRDefault="005C42DB" w:rsidP="00BB4E1C">
            <w:pPr>
              <w:jc w:val="center"/>
              <w:rPr>
                <w:sz w:val="25"/>
                <w:szCs w:val="25"/>
              </w:rPr>
            </w:pPr>
            <w:r w:rsidRPr="007F03CD">
              <w:rPr>
                <w:sz w:val="25"/>
                <w:szCs w:val="25"/>
              </w:rPr>
              <w:t>x</w:t>
            </w:r>
          </w:p>
        </w:tc>
        <w:tc>
          <w:tcPr>
            <w:tcW w:w="882" w:type="dxa"/>
            <w:vAlign w:val="center"/>
          </w:tcPr>
          <w:p w14:paraId="531B6A36" w14:textId="77777777" w:rsidR="005C42DB" w:rsidRPr="007F03CD" w:rsidRDefault="005C42DB" w:rsidP="00BB4E1C">
            <w:pPr>
              <w:jc w:val="center"/>
              <w:rPr>
                <w:sz w:val="25"/>
                <w:szCs w:val="25"/>
              </w:rPr>
            </w:pPr>
          </w:p>
        </w:tc>
        <w:tc>
          <w:tcPr>
            <w:tcW w:w="874" w:type="dxa"/>
            <w:vAlign w:val="center"/>
          </w:tcPr>
          <w:p w14:paraId="5DC68C55" w14:textId="77777777" w:rsidR="005C42DB" w:rsidRPr="007F03CD" w:rsidRDefault="005C42DB" w:rsidP="00BB4E1C">
            <w:pPr>
              <w:jc w:val="center"/>
              <w:rPr>
                <w:sz w:val="25"/>
                <w:szCs w:val="25"/>
              </w:rPr>
            </w:pPr>
          </w:p>
        </w:tc>
      </w:tr>
      <w:tr w:rsidR="005C42DB" w14:paraId="406DFDC2" w14:textId="77777777" w:rsidTr="00BB4E1C">
        <w:trPr>
          <w:trHeight w:val="300"/>
        </w:trPr>
        <w:tc>
          <w:tcPr>
            <w:tcW w:w="4248" w:type="dxa"/>
          </w:tcPr>
          <w:p w14:paraId="6A7EE86F" w14:textId="77777777" w:rsidR="005C42DB" w:rsidRDefault="005C42DB" w:rsidP="00BB4E1C">
            <w:pPr>
              <w:rPr>
                <w:sz w:val="25"/>
                <w:szCs w:val="25"/>
              </w:rPr>
            </w:pPr>
            <w:r w:rsidRPr="1A6DFC8B">
              <w:rPr>
                <w:sz w:val="25"/>
                <w:szCs w:val="25"/>
              </w:rPr>
              <w:t>Appoint a trusted data processor (e.g. DWP or third-party)</w:t>
            </w:r>
          </w:p>
        </w:tc>
        <w:tc>
          <w:tcPr>
            <w:tcW w:w="2457" w:type="dxa"/>
          </w:tcPr>
          <w:p w14:paraId="21A7E835" w14:textId="77777777" w:rsidR="005C42DB" w:rsidRDefault="005C42DB" w:rsidP="00BB4E1C">
            <w:pPr>
              <w:rPr>
                <w:sz w:val="25"/>
                <w:szCs w:val="25"/>
              </w:rPr>
            </w:pPr>
            <w:r w:rsidRPr="1A6DFC8B">
              <w:rPr>
                <w:sz w:val="25"/>
                <w:szCs w:val="25"/>
              </w:rPr>
              <w:t>DESNZ</w:t>
            </w:r>
          </w:p>
        </w:tc>
        <w:tc>
          <w:tcPr>
            <w:tcW w:w="855" w:type="dxa"/>
            <w:vAlign w:val="center"/>
          </w:tcPr>
          <w:p w14:paraId="4183F2B9" w14:textId="77777777" w:rsidR="005C42DB" w:rsidRPr="007F03CD" w:rsidRDefault="005C42DB" w:rsidP="00BB4E1C">
            <w:pPr>
              <w:jc w:val="center"/>
              <w:rPr>
                <w:sz w:val="25"/>
                <w:szCs w:val="25"/>
              </w:rPr>
            </w:pPr>
          </w:p>
        </w:tc>
        <w:tc>
          <w:tcPr>
            <w:tcW w:w="884" w:type="dxa"/>
            <w:shd w:val="clear" w:color="auto" w:fill="173162"/>
            <w:vAlign w:val="center"/>
          </w:tcPr>
          <w:p w14:paraId="7E038942" w14:textId="77777777" w:rsidR="005C42DB" w:rsidRPr="007F03CD" w:rsidRDefault="005C42DB" w:rsidP="00BB4E1C">
            <w:pPr>
              <w:jc w:val="center"/>
              <w:rPr>
                <w:sz w:val="25"/>
                <w:szCs w:val="25"/>
              </w:rPr>
            </w:pPr>
            <w:r w:rsidRPr="007F03CD">
              <w:rPr>
                <w:sz w:val="25"/>
                <w:szCs w:val="25"/>
              </w:rPr>
              <w:t>x</w:t>
            </w:r>
          </w:p>
        </w:tc>
        <w:tc>
          <w:tcPr>
            <w:tcW w:w="882" w:type="dxa"/>
            <w:vAlign w:val="center"/>
          </w:tcPr>
          <w:p w14:paraId="68B591F3" w14:textId="77777777" w:rsidR="005C42DB" w:rsidRPr="007F03CD" w:rsidRDefault="005C42DB" w:rsidP="00BB4E1C">
            <w:pPr>
              <w:jc w:val="center"/>
              <w:rPr>
                <w:sz w:val="25"/>
                <w:szCs w:val="25"/>
              </w:rPr>
            </w:pPr>
          </w:p>
        </w:tc>
        <w:tc>
          <w:tcPr>
            <w:tcW w:w="874" w:type="dxa"/>
            <w:vAlign w:val="center"/>
          </w:tcPr>
          <w:p w14:paraId="18AD038D" w14:textId="77777777" w:rsidR="005C42DB" w:rsidRPr="007F03CD" w:rsidRDefault="005C42DB" w:rsidP="00BB4E1C">
            <w:pPr>
              <w:jc w:val="center"/>
              <w:rPr>
                <w:sz w:val="25"/>
                <w:szCs w:val="25"/>
              </w:rPr>
            </w:pPr>
          </w:p>
        </w:tc>
      </w:tr>
      <w:tr w:rsidR="005C42DB" w14:paraId="3CF28A8F" w14:textId="77777777" w:rsidTr="00BB4E1C">
        <w:trPr>
          <w:trHeight w:val="300"/>
        </w:trPr>
        <w:tc>
          <w:tcPr>
            <w:tcW w:w="4248" w:type="dxa"/>
          </w:tcPr>
          <w:p w14:paraId="56ACC488" w14:textId="77777777" w:rsidR="005C42DB" w:rsidRDefault="005C42DB" w:rsidP="00BB4E1C">
            <w:pPr>
              <w:rPr>
                <w:sz w:val="25"/>
                <w:szCs w:val="25"/>
              </w:rPr>
            </w:pPr>
            <w:r w:rsidRPr="1A6DFC8B">
              <w:rPr>
                <w:sz w:val="25"/>
                <w:szCs w:val="25"/>
              </w:rPr>
              <w:t xml:space="preserve">Pilot triangulation of household address data </w:t>
            </w:r>
          </w:p>
        </w:tc>
        <w:tc>
          <w:tcPr>
            <w:tcW w:w="2457" w:type="dxa"/>
          </w:tcPr>
          <w:p w14:paraId="3CFC7311" w14:textId="77777777" w:rsidR="005C42DB" w:rsidRDefault="005C42DB" w:rsidP="00BB4E1C">
            <w:pPr>
              <w:rPr>
                <w:sz w:val="25"/>
                <w:szCs w:val="25"/>
              </w:rPr>
            </w:pPr>
            <w:r w:rsidRPr="1A6DFC8B">
              <w:rPr>
                <w:sz w:val="25"/>
                <w:szCs w:val="25"/>
              </w:rPr>
              <w:t>HMRC, VOA/local authorities &amp; suppliers</w:t>
            </w:r>
          </w:p>
        </w:tc>
        <w:tc>
          <w:tcPr>
            <w:tcW w:w="855" w:type="dxa"/>
            <w:vAlign w:val="center"/>
          </w:tcPr>
          <w:p w14:paraId="3BD72EF7" w14:textId="77777777" w:rsidR="005C42DB" w:rsidRPr="007F03CD" w:rsidRDefault="005C42DB" w:rsidP="00BB4E1C">
            <w:pPr>
              <w:jc w:val="center"/>
              <w:rPr>
                <w:sz w:val="25"/>
                <w:szCs w:val="25"/>
              </w:rPr>
            </w:pPr>
          </w:p>
        </w:tc>
        <w:tc>
          <w:tcPr>
            <w:tcW w:w="884" w:type="dxa"/>
            <w:shd w:val="clear" w:color="auto" w:fill="173162"/>
            <w:vAlign w:val="center"/>
          </w:tcPr>
          <w:p w14:paraId="493180C3" w14:textId="77777777" w:rsidR="005C42DB" w:rsidRPr="007F03CD" w:rsidRDefault="005C42DB" w:rsidP="00BB4E1C">
            <w:pPr>
              <w:jc w:val="center"/>
              <w:rPr>
                <w:sz w:val="25"/>
                <w:szCs w:val="25"/>
              </w:rPr>
            </w:pPr>
            <w:r w:rsidRPr="007F03CD">
              <w:rPr>
                <w:sz w:val="25"/>
                <w:szCs w:val="25"/>
              </w:rPr>
              <w:t>x</w:t>
            </w:r>
          </w:p>
        </w:tc>
        <w:tc>
          <w:tcPr>
            <w:tcW w:w="882" w:type="dxa"/>
            <w:vAlign w:val="center"/>
          </w:tcPr>
          <w:p w14:paraId="0B259A2D" w14:textId="77777777" w:rsidR="005C42DB" w:rsidRPr="007F03CD" w:rsidRDefault="005C42DB" w:rsidP="00BB4E1C">
            <w:pPr>
              <w:jc w:val="center"/>
              <w:rPr>
                <w:sz w:val="25"/>
                <w:szCs w:val="25"/>
              </w:rPr>
            </w:pPr>
          </w:p>
        </w:tc>
        <w:tc>
          <w:tcPr>
            <w:tcW w:w="874" w:type="dxa"/>
            <w:vAlign w:val="center"/>
          </w:tcPr>
          <w:p w14:paraId="3C9861F3" w14:textId="77777777" w:rsidR="005C42DB" w:rsidRPr="007F03CD" w:rsidRDefault="005C42DB" w:rsidP="00BB4E1C">
            <w:pPr>
              <w:jc w:val="center"/>
              <w:rPr>
                <w:sz w:val="25"/>
                <w:szCs w:val="25"/>
              </w:rPr>
            </w:pPr>
          </w:p>
        </w:tc>
      </w:tr>
      <w:tr w:rsidR="005C42DB" w14:paraId="73432D79" w14:textId="77777777" w:rsidTr="00BB4E1C">
        <w:trPr>
          <w:trHeight w:val="300"/>
        </w:trPr>
        <w:tc>
          <w:tcPr>
            <w:tcW w:w="4248" w:type="dxa"/>
          </w:tcPr>
          <w:p w14:paraId="3FBA5D47" w14:textId="77777777" w:rsidR="005C42DB" w:rsidRDefault="005C42DB" w:rsidP="00BB4E1C">
            <w:pPr>
              <w:spacing w:line="259" w:lineRule="auto"/>
              <w:rPr>
                <w:sz w:val="25"/>
                <w:szCs w:val="25"/>
              </w:rPr>
            </w:pPr>
            <w:r w:rsidRPr="1A6DFC8B">
              <w:rPr>
                <w:sz w:val="25"/>
                <w:szCs w:val="25"/>
              </w:rPr>
              <w:t xml:space="preserve">Apply lessons from Warm Homes Prescription pilots to scale social prescribing </w:t>
            </w:r>
          </w:p>
        </w:tc>
        <w:tc>
          <w:tcPr>
            <w:tcW w:w="2457" w:type="dxa"/>
          </w:tcPr>
          <w:p w14:paraId="6B9931A6" w14:textId="77777777" w:rsidR="005C42DB" w:rsidRDefault="005C42DB" w:rsidP="00BB4E1C">
            <w:pPr>
              <w:rPr>
                <w:sz w:val="25"/>
                <w:szCs w:val="25"/>
              </w:rPr>
            </w:pPr>
            <w:r w:rsidRPr="1A6DFC8B">
              <w:rPr>
                <w:sz w:val="25"/>
                <w:szCs w:val="25"/>
              </w:rPr>
              <w:t>Appointed data processor, suppliers &amp; healthcare providers</w:t>
            </w:r>
          </w:p>
        </w:tc>
        <w:tc>
          <w:tcPr>
            <w:tcW w:w="855" w:type="dxa"/>
            <w:vAlign w:val="center"/>
          </w:tcPr>
          <w:p w14:paraId="6F12AABB" w14:textId="77777777" w:rsidR="005C42DB" w:rsidRPr="007F03CD" w:rsidRDefault="005C42DB" w:rsidP="00BB4E1C">
            <w:pPr>
              <w:jc w:val="center"/>
              <w:rPr>
                <w:sz w:val="25"/>
                <w:szCs w:val="25"/>
              </w:rPr>
            </w:pPr>
          </w:p>
        </w:tc>
        <w:tc>
          <w:tcPr>
            <w:tcW w:w="884" w:type="dxa"/>
            <w:shd w:val="clear" w:color="auto" w:fill="173162"/>
            <w:vAlign w:val="center"/>
          </w:tcPr>
          <w:p w14:paraId="3A2CCAD6" w14:textId="77777777" w:rsidR="005C42DB" w:rsidRPr="007F03CD" w:rsidRDefault="005C42DB" w:rsidP="00BB4E1C">
            <w:pPr>
              <w:jc w:val="center"/>
              <w:rPr>
                <w:sz w:val="25"/>
                <w:szCs w:val="25"/>
              </w:rPr>
            </w:pPr>
            <w:r w:rsidRPr="007F03CD">
              <w:rPr>
                <w:sz w:val="25"/>
                <w:szCs w:val="25"/>
              </w:rPr>
              <w:t>x</w:t>
            </w:r>
          </w:p>
        </w:tc>
        <w:tc>
          <w:tcPr>
            <w:tcW w:w="882" w:type="dxa"/>
            <w:shd w:val="clear" w:color="auto" w:fill="173162"/>
            <w:vAlign w:val="center"/>
          </w:tcPr>
          <w:p w14:paraId="636E33CE" w14:textId="77777777" w:rsidR="005C42DB" w:rsidRPr="007F03CD" w:rsidRDefault="005C42DB" w:rsidP="00BB4E1C">
            <w:pPr>
              <w:jc w:val="center"/>
              <w:rPr>
                <w:sz w:val="25"/>
                <w:szCs w:val="25"/>
              </w:rPr>
            </w:pPr>
            <w:r w:rsidRPr="007F03CD">
              <w:rPr>
                <w:sz w:val="25"/>
                <w:szCs w:val="25"/>
              </w:rPr>
              <w:t>x</w:t>
            </w:r>
          </w:p>
        </w:tc>
        <w:tc>
          <w:tcPr>
            <w:tcW w:w="874" w:type="dxa"/>
            <w:vAlign w:val="center"/>
          </w:tcPr>
          <w:p w14:paraId="15C64B4B" w14:textId="77777777" w:rsidR="005C42DB" w:rsidRPr="007F03CD" w:rsidRDefault="005C42DB" w:rsidP="00BB4E1C">
            <w:pPr>
              <w:jc w:val="center"/>
              <w:rPr>
                <w:sz w:val="25"/>
                <w:szCs w:val="25"/>
              </w:rPr>
            </w:pPr>
          </w:p>
        </w:tc>
      </w:tr>
      <w:tr w:rsidR="005C42DB" w14:paraId="4277C242" w14:textId="77777777" w:rsidTr="00BB4E1C">
        <w:trPr>
          <w:trHeight w:val="300"/>
        </w:trPr>
        <w:tc>
          <w:tcPr>
            <w:tcW w:w="4248" w:type="dxa"/>
          </w:tcPr>
          <w:p w14:paraId="733461C1" w14:textId="77777777" w:rsidR="005C42DB" w:rsidRDefault="005C42DB" w:rsidP="00BB4E1C">
            <w:pPr>
              <w:rPr>
                <w:sz w:val="25"/>
                <w:szCs w:val="25"/>
              </w:rPr>
            </w:pPr>
            <w:r w:rsidRPr="1A6DFC8B">
              <w:rPr>
                <w:sz w:val="25"/>
                <w:szCs w:val="25"/>
              </w:rPr>
              <w:t>Invest in building inclusive, well-designed self-referral tools</w:t>
            </w:r>
          </w:p>
        </w:tc>
        <w:tc>
          <w:tcPr>
            <w:tcW w:w="2457" w:type="dxa"/>
          </w:tcPr>
          <w:p w14:paraId="3B973169" w14:textId="77777777" w:rsidR="005C42DB" w:rsidRDefault="005C42DB" w:rsidP="00BB4E1C">
            <w:pPr>
              <w:rPr>
                <w:sz w:val="25"/>
                <w:szCs w:val="25"/>
              </w:rPr>
            </w:pPr>
            <w:r w:rsidRPr="1A6DFC8B">
              <w:rPr>
                <w:sz w:val="25"/>
                <w:szCs w:val="25"/>
              </w:rPr>
              <w:t>Appointed data processor &amp; suppliers</w:t>
            </w:r>
          </w:p>
        </w:tc>
        <w:tc>
          <w:tcPr>
            <w:tcW w:w="855" w:type="dxa"/>
            <w:vAlign w:val="center"/>
          </w:tcPr>
          <w:p w14:paraId="324F4C35" w14:textId="77777777" w:rsidR="005C42DB" w:rsidRPr="007F03CD" w:rsidRDefault="005C42DB" w:rsidP="00BB4E1C">
            <w:pPr>
              <w:jc w:val="center"/>
              <w:rPr>
                <w:sz w:val="25"/>
                <w:szCs w:val="25"/>
              </w:rPr>
            </w:pPr>
          </w:p>
        </w:tc>
        <w:tc>
          <w:tcPr>
            <w:tcW w:w="884" w:type="dxa"/>
            <w:shd w:val="clear" w:color="auto" w:fill="173162"/>
            <w:vAlign w:val="center"/>
          </w:tcPr>
          <w:p w14:paraId="272B5689" w14:textId="77777777" w:rsidR="005C42DB" w:rsidRPr="007F03CD" w:rsidRDefault="005C42DB" w:rsidP="00BB4E1C">
            <w:pPr>
              <w:jc w:val="center"/>
              <w:rPr>
                <w:sz w:val="25"/>
                <w:szCs w:val="25"/>
              </w:rPr>
            </w:pPr>
            <w:r w:rsidRPr="007F03CD">
              <w:rPr>
                <w:sz w:val="25"/>
                <w:szCs w:val="25"/>
              </w:rPr>
              <w:t>x</w:t>
            </w:r>
          </w:p>
        </w:tc>
        <w:tc>
          <w:tcPr>
            <w:tcW w:w="882" w:type="dxa"/>
            <w:shd w:val="clear" w:color="auto" w:fill="173162"/>
            <w:vAlign w:val="center"/>
          </w:tcPr>
          <w:p w14:paraId="44A391F9" w14:textId="77777777" w:rsidR="005C42DB" w:rsidRPr="007F03CD" w:rsidRDefault="005C42DB" w:rsidP="00BB4E1C">
            <w:pPr>
              <w:jc w:val="center"/>
              <w:rPr>
                <w:sz w:val="25"/>
                <w:szCs w:val="25"/>
              </w:rPr>
            </w:pPr>
            <w:r w:rsidRPr="007F03CD">
              <w:rPr>
                <w:sz w:val="25"/>
                <w:szCs w:val="25"/>
              </w:rPr>
              <w:t>x</w:t>
            </w:r>
          </w:p>
        </w:tc>
        <w:tc>
          <w:tcPr>
            <w:tcW w:w="874" w:type="dxa"/>
            <w:vAlign w:val="center"/>
          </w:tcPr>
          <w:p w14:paraId="5223CCE1" w14:textId="77777777" w:rsidR="005C42DB" w:rsidRPr="007F03CD" w:rsidRDefault="005C42DB" w:rsidP="00BB4E1C">
            <w:pPr>
              <w:jc w:val="center"/>
              <w:rPr>
                <w:sz w:val="25"/>
                <w:szCs w:val="25"/>
              </w:rPr>
            </w:pPr>
          </w:p>
        </w:tc>
      </w:tr>
      <w:tr w:rsidR="005C42DB" w14:paraId="27388553" w14:textId="77777777" w:rsidTr="00BB4E1C">
        <w:trPr>
          <w:trHeight w:val="300"/>
        </w:trPr>
        <w:tc>
          <w:tcPr>
            <w:tcW w:w="4248" w:type="dxa"/>
          </w:tcPr>
          <w:p w14:paraId="076434BF" w14:textId="77777777" w:rsidR="005C42DB" w:rsidRDefault="005C42DB" w:rsidP="00BB4E1C">
            <w:pPr>
              <w:spacing w:after="200" w:line="259" w:lineRule="auto"/>
              <w:rPr>
                <w:sz w:val="25"/>
                <w:szCs w:val="25"/>
              </w:rPr>
            </w:pPr>
            <w:r w:rsidRPr="1A6DFC8B">
              <w:rPr>
                <w:sz w:val="25"/>
                <w:szCs w:val="25"/>
              </w:rPr>
              <w:t>Undertake an analysis of potential health-based needs codes for the Priority Services Register</w:t>
            </w:r>
          </w:p>
        </w:tc>
        <w:tc>
          <w:tcPr>
            <w:tcW w:w="2457" w:type="dxa"/>
          </w:tcPr>
          <w:p w14:paraId="2A4843E7" w14:textId="77777777" w:rsidR="005C42DB" w:rsidRDefault="005C42DB" w:rsidP="00BB4E1C">
            <w:pPr>
              <w:rPr>
                <w:sz w:val="25"/>
                <w:szCs w:val="25"/>
              </w:rPr>
            </w:pPr>
            <w:r w:rsidRPr="1A6DFC8B">
              <w:rPr>
                <w:sz w:val="25"/>
                <w:szCs w:val="25"/>
              </w:rPr>
              <w:t xml:space="preserve">Ofgem, DNOs, GDNs, Ofwat, water companies, suppliers &amp; healthcare providers </w:t>
            </w:r>
          </w:p>
        </w:tc>
        <w:tc>
          <w:tcPr>
            <w:tcW w:w="855" w:type="dxa"/>
            <w:vAlign w:val="center"/>
          </w:tcPr>
          <w:p w14:paraId="3161B775" w14:textId="77777777" w:rsidR="005C42DB" w:rsidRPr="007F03CD" w:rsidRDefault="005C42DB" w:rsidP="00BB4E1C">
            <w:pPr>
              <w:jc w:val="center"/>
              <w:rPr>
                <w:sz w:val="25"/>
                <w:szCs w:val="25"/>
              </w:rPr>
            </w:pPr>
          </w:p>
        </w:tc>
        <w:tc>
          <w:tcPr>
            <w:tcW w:w="884" w:type="dxa"/>
            <w:shd w:val="clear" w:color="auto" w:fill="173162"/>
            <w:vAlign w:val="center"/>
          </w:tcPr>
          <w:p w14:paraId="0CC7C25F" w14:textId="77777777" w:rsidR="005C42DB" w:rsidRPr="007F03CD" w:rsidRDefault="005C42DB" w:rsidP="00BB4E1C">
            <w:pPr>
              <w:jc w:val="center"/>
              <w:rPr>
                <w:sz w:val="25"/>
                <w:szCs w:val="25"/>
              </w:rPr>
            </w:pPr>
            <w:r w:rsidRPr="007F03CD">
              <w:rPr>
                <w:sz w:val="25"/>
                <w:szCs w:val="25"/>
              </w:rPr>
              <w:t>x</w:t>
            </w:r>
          </w:p>
        </w:tc>
        <w:tc>
          <w:tcPr>
            <w:tcW w:w="882" w:type="dxa"/>
            <w:vAlign w:val="center"/>
          </w:tcPr>
          <w:p w14:paraId="66787932" w14:textId="77777777" w:rsidR="005C42DB" w:rsidRPr="007F03CD" w:rsidRDefault="005C42DB" w:rsidP="00BB4E1C">
            <w:pPr>
              <w:jc w:val="center"/>
              <w:rPr>
                <w:sz w:val="25"/>
                <w:szCs w:val="25"/>
              </w:rPr>
            </w:pPr>
          </w:p>
        </w:tc>
        <w:tc>
          <w:tcPr>
            <w:tcW w:w="874" w:type="dxa"/>
            <w:vAlign w:val="center"/>
          </w:tcPr>
          <w:p w14:paraId="36CE6654" w14:textId="77777777" w:rsidR="005C42DB" w:rsidRPr="007F03CD" w:rsidRDefault="005C42DB" w:rsidP="00BB4E1C">
            <w:pPr>
              <w:jc w:val="center"/>
              <w:rPr>
                <w:sz w:val="25"/>
                <w:szCs w:val="25"/>
              </w:rPr>
            </w:pPr>
          </w:p>
        </w:tc>
      </w:tr>
      <w:tr w:rsidR="005C42DB" w14:paraId="090EC200" w14:textId="77777777" w:rsidTr="00BB4E1C">
        <w:trPr>
          <w:trHeight w:val="300"/>
        </w:trPr>
        <w:tc>
          <w:tcPr>
            <w:tcW w:w="4248" w:type="dxa"/>
          </w:tcPr>
          <w:p w14:paraId="3E5F8EB4" w14:textId="77777777" w:rsidR="005C42DB" w:rsidRDefault="005C42DB" w:rsidP="00BB4E1C">
            <w:pPr>
              <w:spacing w:line="259" w:lineRule="auto"/>
              <w:rPr>
                <w:sz w:val="25"/>
                <w:szCs w:val="25"/>
              </w:rPr>
            </w:pPr>
            <w:r w:rsidRPr="1A6DFC8B">
              <w:rPr>
                <w:sz w:val="25"/>
                <w:szCs w:val="25"/>
              </w:rPr>
              <w:t>Implement needs codes for the Priority Services Register</w:t>
            </w:r>
          </w:p>
        </w:tc>
        <w:tc>
          <w:tcPr>
            <w:tcW w:w="2457" w:type="dxa"/>
          </w:tcPr>
          <w:p w14:paraId="72F26927" w14:textId="77777777" w:rsidR="005C42DB" w:rsidRDefault="005C42DB" w:rsidP="00BB4E1C">
            <w:pPr>
              <w:rPr>
                <w:sz w:val="25"/>
                <w:szCs w:val="25"/>
              </w:rPr>
            </w:pPr>
            <w:r w:rsidRPr="1A6DFC8B">
              <w:rPr>
                <w:sz w:val="25"/>
                <w:szCs w:val="25"/>
              </w:rPr>
              <w:t>Ofgem &amp; suppliers</w:t>
            </w:r>
          </w:p>
        </w:tc>
        <w:tc>
          <w:tcPr>
            <w:tcW w:w="855" w:type="dxa"/>
            <w:vAlign w:val="center"/>
          </w:tcPr>
          <w:p w14:paraId="58B8EE3C" w14:textId="77777777" w:rsidR="005C42DB" w:rsidRPr="007F03CD" w:rsidRDefault="005C42DB" w:rsidP="00BB4E1C">
            <w:pPr>
              <w:jc w:val="center"/>
              <w:rPr>
                <w:sz w:val="25"/>
                <w:szCs w:val="25"/>
              </w:rPr>
            </w:pPr>
          </w:p>
        </w:tc>
        <w:tc>
          <w:tcPr>
            <w:tcW w:w="884" w:type="dxa"/>
            <w:shd w:val="clear" w:color="auto" w:fill="173162"/>
            <w:vAlign w:val="center"/>
          </w:tcPr>
          <w:p w14:paraId="49985162" w14:textId="77777777" w:rsidR="005C42DB" w:rsidRPr="007F03CD" w:rsidRDefault="005C42DB" w:rsidP="00BB4E1C">
            <w:pPr>
              <w:jc w:val="center"/>
              <w:rPr>
                <w:sz w:val="25"/>
                <w:szCs w:val="25"/>
              </w:rPr>
            </w:pPr>
            <w:r w:rsidRPr="007F03CD">
              <w:rPr>
                <w:sz w:val="25"/>
                <w:szCs w:val="25"/>
              </w:rPr>
              <w:t>x</w:t>
            </w:r>
          </w:p>
        </w:tc>
        <w:tc>
          <w:tcPr>
            <w:tcW w:w="882" w:type="dxa"/>
            <w:shd w:val="clear" w:color="auto" w:fill="173162"/>
            <w:vAlign w:val="center"/>
          </w:tcPr>
          <w:p w14:paraId="7376F16B" w14:textId="77777777" w:rsidR="005C42DB" w:rsidRPr="007F03CD" w:rsidRDefault="005C42DB" w:rsidP="00BB4E1C">
            <w:pPr>
              <w:jc w:val="center"/>
              <w:rPr>
                <w:sz w:val="25"/>
                <w:szCs w:val="25"/>
              </w:rPr>
            </w:pPr>
            <w:r w:rsidRPr="007F03CD">
              <w:rPr>
                <w:sz w:val="25"/>
                <w:szCs w:val="25"/>
              </w:rPr>
              <w:t>x</w:t>
            </w:r>
          </w:p>
        </w:tc>
        <w:tc>
          <w:tcPr>
            <w:tcW w:w="874" w:type="dxa"/>
            <w:vAlign w:val="center"/>
          </w:tcPr>
          <w:p w14:paraId="35188763" w14:textId="77777777" w:rsidR="005C42DB" w:rsidRPr="007F03CD" w:rsidRDefault="005C42DB" w:rsidP="00BB4E1C">
            <w:pPr>
              <w:jc w:val="center"/>
              <w:rPr>
                <w:sz w:val="25"/>
                <w:szCs w:val="25"/>
              </w:rPr>
            </w:pPr>
          </w:p>
        </w:tc>
      </w:tr>
      <w:tr w:rsidR="005C42DB" w14:paraId="2EB1AABD" w14:textId="77777777" w:rsidTr="00BB4E1C">
        <w:trPr>
          <w:trHeight w:val="300"/>
        </w:trPr>
        <w:tc>
          <w:tcPr>
            <w:tcW w:w="4248" w:type="dxa"/>
          </w:tcPr>
          <w:p w14:paraId="16353618" w14:textId="77777777" w:rsidR="005C42DB" w:rsidRDefault="005C42DB" w:rsidP="00BB4E1C">
            <w:pPr>
              <w:rPr>
                <w:sz w:val="25"/>
                <w:szCs w:val="25"/>
              </w:rPr>
            </w:pPr>
            <w:r w:rsidRPr="1A6DFC8B">
              <w:rPr>
                <w:sz w:val="25"/>
                <w:szCs w:val="25"/>
              </w:rPr>
              <w:t>Complete household aggregation of income data</w:t>
            </w:r>
          </w:p>
        </w:tc>
        <w:tc>
          <w:tcPr>
            <w:tcW w:w="2457" w:type="dxa"/>
          </w:tcPr>
          <w:p w14:paraId="1269041F" w14:textId="77777777" w:rsidR="005C42DB" w:rsidRDefault="005C42DB" w:rsidP="00BB4E1C">
            <w:pPr>
              <w:rPr>
                <w:sz w:val="25"/>
                <w:szCs w:val="25"/>
              </w:rPr>
            </w:pPr>
            <w:r w:rsidRPr="1A6DFC8B">
              <w:rPr>
                <w:sz w:val="25"/>
                <w:szCs w:val="25"/>
              </w:rPr>
              <w:t>HMRC</w:t>
            </w:r>
          </w:p>
        </w:tc>
        <w:tc>
          <w:tcPr>
            <w:tcW w:w="855" w:type="dxa"/>
            <w:vAlign w:val="center"/>
          </w:tcPr>
          <w:p w14:paraId="61CFE516" w14:textId="77777777" w:rsidR="005C42DB" w:rsidRPr="007F03CD" w:rsidRDefault="005C42DB" w:rsidP="00BB4E1C">
            <w:pPr>
              <w:jc w:val="center"/>
              <w:rPr>
                <w:sz w:val="25"/>
                <w:szCs w:val="25"/>
              </w:rPr>
            </w:pPr>
          </w:p>
        </w:tc>
        <w:tc>
          <w:tcPr>
            <w:tcW w:w="884" w:type="dxa"/>
            <w:vAlign w:val="center"/>
          </w:tcPr>
          <w:p w14:paraId="7F94764C" w14:textId="77777777" w:rsidR="005C42DB" w:rsidRPr="007F03CD" w:rsidRDefault="005C42DB" w:rsidP="00BB4E1C">
            <w:pPr>
              <w:jc w:val="center"/>
              <w:rPr>
                <w:sz w:val="25"/>
                <w:szCs w:val="25"/>
              </w:rPr>
            </w:pPr>
          </w:p>
        </w:tc>
        <w:tc>
          <w:tcPr>
            <w:tcW w:w="882" w:type="dxa"/>
            <w:shd w:val="clear" w:color="auto" w:fill="173162"/>
            <w:vAlign w:val="center"/>
          </w:tcPr>
          <w:p w14:paraId="7D8B44BB" w14:textId="77777777" w:rsidR="005C42DB" w:rsidRPr="007F03CD" w:rsidRDefault="005C42DB" w:rsidP="00BB4E1C">
            <w:pPr>
              <w:jc w:val="center"/>
              <w:rPr>
                <w:sz w:val="25"/>
                <w:szCs w:val="25"/>
              </w:rPr>
            </w:pPr>
            <w:r w:rsidRPr="007F03CD">
              <w:rPr>
                <w:sz w:val="25"/>
                <w:szCs w:val="25"/>
              </w:rPr>
              <w:t>x</w:t>
            </w:r>
          </w:p>
        </w:tc>
        <w:tc>
          <w:tcPr>
            <w:tcW w:w="874" w:type="dxa"/>
            <w:vAlign w:val="center"/>
          </w:tcPr>
          <w:p w14:paraId="62D8B557" w14:textId="77777777" w:rsidR="005C42DB" w:rsidRPr="007F03CD" w:rsidRDefault="005C42DB" w:rsidP="00BB4E1C">
            <w:pPr>
              <w:jc w:val="center"/>
              <w:rPr>
                <w:sz w:val="25"/>
                <w:szCs w:val="25"/>
              </w:rPr>
            </w:pPr>
          </w:p>
        </w:tc>
      </w:tr>
      <w:tr w:rsidR="005C42DB" w14:paraId="23076DD2" w14:textId="77777777" w:rsidTr="00BB4E1C">
        <w:trPr>
          <w:trHeight w:val="300"/>
        </w:trPr>
        <w:tc>
          <w:tcPr>
            <w:tcW w:w="4248" w:type="dxa"/>
          </w:tcPr>
          <w:p w14:paraId="70EFF038" w14:textId="77777777" w:rsidR="005C42DB" w:rsidRDefault="005C42DB" w:rsidP="00BB4E1C">
            <w:pPr>
              <w:rPr>
                <w:sz w:val="25"/>
                <w:szCs w:val="25"/>
              </w:rPr>
            </w:pPr>
            <w:r w:rsidRPr="1A6DFC8B">
              <w:rPr>
                <w:sz w:val="25"/>
                <w:szCs w:val="25"/>
              </w:rPr>
              <w:t xml:space="preserve">Implement a formula-based income-linked targeted bill support payment </w:t>
            </w:r>
          </w:p>
        </w:tc>
        <w:tc>
          <w:tcPr>
            <w:tcW w:w="2457" w:type="dxa"/>
          </w:tcPr>
          <w:p w14:paraId="3FDF9333" w14:textId="77777777" w:rsidR="005C42DB" w:rsidRDefault="005C42DB" w:rsidP="00BB4E1C">
            <w:pPr>
              <w:rPr>
                <w:sz w:val="25"/>
                <w:szCs w:val="25"/>
              </w:rPr>
            </w:pPr>
            <w:r w:rsidRPr="1A6DFC8B">
              <w:rPr>
                <w:sz w:val="25"/>
                <w:szCs w:val="25"/>
              </w:rPr>
              <w:t>DESNZ, HMT, appointed data processor &amp; suppliers</w:t>
            </w:r>
          </w:p>
        </w:tc>
        <w:tc>
          <w:tcPr>
            <w:tcW w:w="855" w:type="dxa"/>
            <w:vAlign w:val="center"/>
          </w:tcPr>
          <w:p w14:paraId="7F1ED2EE" w14:textId="77777777" w:rsidR="005C42DB" w:rsidRPr="007F03CD" w:rsidRDefault="005C42DB" w:rsidP="00BB4E1C">
            <w:pPr>
              <w:jc w:val="center"/>
              <w:rPr>
                <w:sz w:val="25"/>
                <w:szCs w:val="25"/>
              </w:rPr>
            </w:pPr>
          </w:p>
        </w:tc>
        <w:tc>
          <w:tcPr>
            <w:tcW w:w="884" w:type="dxa"/>
            <w:vAlign w:val="center"/>
          </w:tcPr>
          <w:p w14:paraId="5C8EF8A2" w14:textId="77777777" w:rsidR="005C42DB" w:rsidRPr="007F03CD" w:rsidRDefault="005C42DB" w:rsidP="00BB4E1C">
            <w:pPr>
              <w:jc w:val="center"/>
              <w:rPr>
                <w:sz w:val="25"/>
                <w:szCs w:val="25"/>
              </w:rPr>
            </w:pPr>
          </w:p>
        </w:tc>
        <w:tc>
          <w:tcPr>
            <w:tcW w:w="882" w:type="dxa"/>
            <w:shd w:val="clear" w:color="auto" w:fill="173162"/>
            <w:vAlign w:val="center"/>
          </w:tcPr>
          <w:p w14:paraId="73E54893" w14:textId="77777777" w:rsidR="005C42DB" w:rsidRPr="007F03CD" w:rsidRDefault="005C42DB" w:rsidP="00BB4E1C">
            <w:pPr>
              <w:jc w:val="center"/>
              <w:rPr>
                <w:sz w:val="25"/>
                <w:szCs w:val="25"/>
              </w:rPr>
            </w:pPr>
            <w:r w:rsidRPr="007F03CD">
              <w:rPr>
                <w:sz w:val="25"/>
                <w:szCs w:val="25"/>
              </w:rPr>
              <w:t>x</w:t>
            </w:r>
          </w:p>
        </w:tc>
        <w:tc>
          <w:tcPr>
            <w:tcW w:w="874" w:type="dxa"/>
            <w:shd w:val="clear" w:color="auto" w:fill="173162"/>
            <w:vAlign w:val="center"/>
          </w:tcPr>
          <w:p w14:paraId="3E1E148E" w14:textId="77777777" w:rsidR="005C42DB" w:rsidRPr="007F03CD" w:rsidRDefault="005C42DB" w:rsidP="00BB4E1C">
            <w:pPr>
              <w:jc w:val="center"/>
              <w:rPr>
                <w:sz w:val="25"/>
                <w:szCs w:val="25"/>
              </w:rPr>
            </w:pPr>
            <w:r w:rsidRPr="007F03CD">
              <w:rPr>
                <w:sz w:val="25"/>
                <w:szCs w:val="25"/>
              </w:rPr>
              <w:t>x</w:t>
            </w:r>
          </w:p>
        </w:tc>
      </w:tr>
    </w:tbl>
    <w:p w14:paraId="48B12486" w14:textId="77777777" w:rsidR="001A5E58" w:rsidRDefault="00F84F72">
      <w:pPr>
        <w:pStyle w:val="Heading1"/>
        <w:ind w:left="0" w:firstLine="0"/>
      </w:pPr>
      <w:r>
        <w:lastRenderedPageBreak/>
        <w:t>Annex</w:t>
      </w:r>
      <w:bookmarkEnd w:id="29"/>
    </w:p>
    <w:p w14:paraId="4ED3176C" w14:textId="7F74CB7A" w:rsidR="001A5E58" w:rsidRDefault="0056361C">
      <w:pPr>
        <w:pStyle w:val="Heading2"/>
        <w:rPr>
          <w:b/>
          <w:sz w:val="28"/>
          <w:szCs w:val="28"/>
        </w:rPr>
      </w:pPr>
      <w:bookmarkStart w:id="30" w:name="_qwhwrvb43uy2" w:colFirst="0" w:colLast="0"/>
      <w:bookmarkStart w:id="31" w:name="_Toc202861068"/>
      <w:bookmarkEnd w:id="30"/>
      <w:r>
        <w:rPr>
          <w:sz w:val="36"/>
          <w:szCs w:val="36"/>
        </w:rPr>
        <w:t xml:space="preserve">A1. </w:t>
      </w:r>
      <w:r w:rsidR="00F84F72">
        <w:rPr>
          <w:sz w:val="36"/>
          <w:szCs w:val="36"/>
        </w:rPr>
        <w:t>Methods</w:t>
      </w:r>
      <w:bookmarkEnd w:id="31"/>
    </w:p>
    <w:p w14:paraId="133675E9" w14:textId="77777777" w:rsidR="001A5E58" w:rsidRDefault="00F84F72">
      <w:pPr>
        <w:spacing w:after="0" w:line="276" w:lineRule="auto"/>
        <w:rPr>
          <w:sz w:val="28"/>
          <w:szCs w:val="28"/>
        </w:rPr>
      </w:pPr>
      <w:r>
        <w:rPr>
          <w:sz w:val="28"/>
          <w:szCs w:val="28"/>
        </w:rPr>
        <w:t xml:space="preserve">To model the impact of different types of billpayer-funded social tariffs on fuel poverty rates and energy bills - and how these impacts vary across different groups (income deciles, disability statuses, age groups), we drew on data in the 2022/23 Living Costs and Food Survey (LCFS). This is the most detailed official dataset on household spending patterns. It also contains variables on household incomes, demographics and receipt of benefits. </w:t>
      </w:r>
    </w:p>
    <w:p w14:paraId="2B561FCC" w14:textId="77777777" w:rsidR="001A5E58" w:rsidRDefault="001A5E58">
      <w:pPr>
        <w:spacing w:after="0" w:line="276" w:lineRule="auto"/>
        <w:rPr>
          <w:sz w:val="28"/>
          <w:szCs w:val="28"/>
        </w:rPr>
      </w:pPr>
    </w:p>
    <w:p w14:paraId="220E98C6" w14:textId="6A55BA5A" w:rsidR="001A5E58" w:rsidRDefault="5B43EAB0">
      <w:pPr>
        <w:spacing w:after="0" w:line="276" w:lineRule="auto"/>
        <w:rPr>
          <w:sz w:val="28"/>
          <w:szCs w:val="28"/>
        </w:rPr>
      </w:pPr>
      <w:r w:rsidRPr="1A6DFC8B">
        <w:rPr>
          <w:sz w:val="28"/>
          <w:szCs w:val="28"/>
        </w:rPr>
        <w:t xml:space="preserve">Using data in the LCFS on electricity and gas </w:t>
      </w:r>
      <w:r w:rsidR="2B447622" w:rsidRPr="1A6DFC8B">
        <w:rPr>
          <w:color w:val="000000" w:themeColor="text1"/>
          <w:sz w:val="28"/>
          <w:szCs w:val="28"/>
        </w:rPr>
        <w:t xml:space="preserve">(e.g. oil, coal) </w:t>
      </w:r>
      <w:r w:rsidRPr="1A6DFC8B">
        <w:rPr>
          <w:sz w:val="28"/>
          <w:szCs w:val="28"/>
        </w:rPr>
        <w:t>expenditure, we were able to model how individual household energy bills change in response to lump sum or unit rate social tariffs, and a rising block tariff. The LCFS expenditure does not split outstanding charges and variable energy costs; therefore, we estimated variable versus fixed energy costs using Ofgem data on average standing charges (</w:t>
      </w:r>
      <w:hyperlink r:id="rId35">
        <w:r w:rsidR="29D7B1E0" w:rsidRPr="1A6DFC8B">
          <w:rPr>
            <w:color w:val="1155CC"/>
            <w:sz w:val="28"/>
            <w:szCs w:val="28"/>
            <w:u w:val="single"/>
          </w:rPr>
          <w:t>here</w:t>
        </w:r>
      </w:hyperlink>
      <w:r w:rsidRPr="1A6DFC8B">
        <w:rPr>
          <w:sz w:val="28"/>
          <w:szCs w:val="28"/>
        </w:rPr>
        <w:t>).</w:t>
      </w:r>
    </w:p>
    <w:p w14:paraId="2507983B" w14:textId="77777777" w:rsidR="001A5E58" w:rsidRDefault="001A5E58">
      <w:pPr>
        <w:spacing w:after="0" w:line="276" w:lineRule="auto"/>
        <w:rPr>
          <w:sz w:val="28"/>
          <w:szCs w:val="28"/>
        </w:rPr>
      </w:pPr>
    </w:p>
    <w:p w14:paraId="2F67E108" w14:textId="77777777" w:rsidR="001A5E58" w:rsidRDefault="00F84F72">
      <w:pPr>
        <w:spacing w:after="0" w:line="276" w:lineRule="auto"/>
        <w:rPr>
          <w:sz w:val="28"/>
          <w:szCs w:val="28"/>
        </w:rPr>
      </w:pPr>
      <w:r>
        <w:rPr>
          <w:sz w:val="28"/>
          <w:szCs w:val="28"/>
        </w:rPr>
        <w:t xml:space="preserve">Data on energy expenditure was uprated into 2024/25 values using ONS consumer price index data for gas and electricity prices. Household income has also been uprated, using Labour Force Survey data on earnings growth and relevant uprating rates for benefits. </w:t>
      </w:r>
    </w:p>
    <w:p w14:paraId="3F30C254" w14:textId="77777777" w:rsidR="001A5E58" w:rsidRDefault="001A5E58">
      <w:pPr>
        <w:spacing w:after="0" w:line="276" w:lineRule="auto"/>
        <w:rPr>
          <w:sz w:val="28"/>
          <w:szCs w:val="28"/>
        </w:rPr>
      </w:pPr>
    </w:p>
    <w:p w14:paraId="4C9BE2DD" w14:textId="77777777" w:rsidR="001A5E58" w:rsidRDefault="00F84F72">
      <w:pPr>
        <w:spacing w:after="0" w:line="276" w:lineRule="auto"/>
        <w:rPr>
          <w:sz w:val="28"/>
          <w:szCs w:val="28"/>
        </w:rPr>
      </w:pPr>
      <w:r>
        <w:rPr>
          <w:sz w:val="28"/>
          <w:szCs w:val="28"/>
        </w:rPr>
        <w:t xml:space="preserve">Data on household incomes, benefits and disability statuses were used to explore the implications of different eligibility assumptions for a social tariff. </w:t>
      </w:r>
    </w:p>
    <w:p w14:paraId="135B03AB" w14:textId="77777777" w:rsidR="001A5E58" w:rsidRDefault="001A5E58">
      <w:pPr>
        <w:spacing w:after="0" w:line="276" w:lineRule="auto"/>
        <w:rPr>
          <w:sz w:val="28"/>
          <w:szCs w:val="28"/>
        </w:rPr>
      </w:pPr>
    </w:p>
    <w:p w14:paraId="25A86042" w14:textId="77777777" w:rsidR="001A5E58" w:rsidRDefault="00F84F72">
      <w:pPr>
        <w:spacing w:after="0" w:line="276" w:lineRule="auto"/>
        <w:rPr>
          <w:sz w:val="28"/>
          <w:szCs w:val="28"/>
        </w:rPr>
      </w:pPr>
      <w:r>
        <w:rPr>
          <w:sz w:val="28"/>
          <w:szCs w:val="28"/>
        </w:rPr>
        <w:t>By comparing pre and post-social tariff energy bills, we were able to estimate the change in the number of households in fuel poverty. Fuel poverty is defined as spending more than 10% of after-housing costs income on energy.</w:t>
      </w:r>
    </w:p>
    <w:p w14:paraId="4781931A" w14:textId="77777777" w:rsidR="001A5E58" w:rsidRDefault="001A5E58">
      <w:pPr>
        <w:spacing w:after="0" w:line="276" w:lineRule="auto"/>
        <w:rPr>
          <w:sz w:val="28"/>
          <w:szCs w:val="28"/>
        </w:rPr>
      </w:pPr>
    </w:p>
    <w:p w14:paraId="50F51F17" w14:textId="77777777" w:rsidR="001A5E58" w:rsidRDefault="00F84F72">
      <w:pPr>
        <w:spacing w:after="0" w:line="276" w:lineRule="auto"/>
        <w:rPr>
          <w:sz w:val="28"/>
          <w:szCs w:val="28"/>
        </w:rPr>
      </w:pPr>
      <w:r>
        <w:rPr>
          <w:sz w:val="28"/>
          <w:szCs w:val="28"/>
        </w:rPr>
        <w:lastRenderedPageBreak/>
        <w:t xml:space="preserve">Distributional analysis by income group looks at equivalised deciles of household income after housing costs. Equivalisation to account for different household sizes is done using the McClements equivalence scales. More data on this is available </w:t>
      </w:r>
      <w:hyperlink r:id="rId36">
        <w:r w:rsidR="001A5E58">
          <w:rPr>
            <w:color w:val="1155CC"/>
            <w:sz w:val="28"/>
            <w:szCs w:val="28"/>
            <w:u w:val="single"/>
          </w:rPr>
          <w:t>here</w:t>
        </w:r>
      </w:hyperlink>
      <w:r>
        <w:rPr>
          <w:sz w:val="28"/>
          <w:szCs w:val="28"/>
        </w:rPr>
        <w:t xml:space="preserve">. </w:t>
      </w:r>
    </w:p>
    <w:p w14:paraId="66B69C9B" w14:textId="77777777" w:rsidR="001A5E58" w:rsidRDefault="001A5E58">
      <w:pPr>
        <w:spacing w:after="0" w:line="276" w:lineRule="auto"/>
        <w:rPr>
          <w:sz w:val="28"/>
          <w:szCs w:val="28"/>
        </w:rPr>
      </w:pPr>
    </w:p>
    <w:p w14:paraId="06A2CBB1" w14:textId="77777777" w:rsidR="001A5E58" w:rsidRDefault="3DE4D3F4">
      <w:pPr>
        <w:spacing w:after="0" w:line="276" w:lineRule="auto"/>
        <w:rPr>
          <w:sz w:val="28"/>
          <w:szCs w:val="28"/>
        </w:rPr>
      </w:pPr>
      <w:r w:rsidRPr="1A6DFC8B">
        <w:rPr>
          <w:sz w:val="28"/>
          <w:szCs w:val="28"/>
        </w:rPr>
        <w:t xml:space="preserve">To model the impact of reduced PIP entitlement in the future - with potential knock-on implications for social tariff eligibility - we drew on estimates </w:t>
      </w:r>
      <w:hyperlink r:id="rId37">
        <w:r w:rsidR="765108B3" w:rsidRPr="1A6DFC8B">
          <w:rPr>
            <w:color w:val="1155CC"/>
            <w:sz w:val="28"/>
            <w:szCs w:val="28"/>
            <w:u w:val="single"/>
          </w:rPr>
          <w:t>here</w:t>
        </w:r>
      </w:hyperlink>
      <w:r w:rsidRPr="1A6DFC8B">
        <w:rPr>
          <w:sz w:val="28"/>
          <w:szCs w:val="28"/>
        </w:rPr>
        <w:t xml:space="preserve"> on the proportion of standard and enhanced PIP claimants that would lose out under a “4-point rule”. This was then used to probabilistically remove PIP from households in the LCFS dataset. This is very much an approximation of impact, given the LCFS lacks sufficient data to establish which households are more likely to lose out. </w:t>
      </w:r>
    </w:p>
    <w:p w14:paraId="2E6CEF90" w14:textId="77777777" w:rsidR="001A5E58" w:rsidRDefault="001A5E58">
      <w:pPr>
        <w:spacing w:after="0" w:line="276" w:lineRule="auto"/>
        <w:rPr>
          <w:sz w:val="28"/>
          <w:szCs w:val="28"/>
        </w:rPr>
      </w:pPr>
    </w:p>
    <w:p w14:paraId="242F2BE0" w14:textId="77777777" w:rsidR="001A5E58" w:rsidRDefault="00F84F72">
      <w:pPr>
        <w:spacing w:after="0" w:line="276" w:lineRule="auto"/>
        <w:rPr>
          <w:sz w:val="28"/>
          <w:szCs w:val="28"/>
        </w:rPr>
      </w:pPr>
      <w:r>
        <w:rPr>
          <w:sz w:val="28"/>
          <w:szCs w:val="28"/>
        </w:rPr>
        <w:t xml:space="preserve">To aggregate up from the LCFS to population-wide numbers, we use the weighting variable included in the LCFS. </w:t>
      </w:r>
    </w:p>
    <w:p w14:paraId="40B2EB92" w14:textId="77777777" w:rsidR="001A5E58" w:rsidRDefault="001A5E58">
      <w:pPr>
        <w:spacing w:after="0" w:line="276" w:lineRule="auto"/>
        <w:rPr>
          <w:sz w:val="28"/>
          <w:szCs w:val="28"/>
        </w:rPr>
      </w:pPr>
    </w:p>
    <w:p w14:paraId="2B04068C" w14:textId="77777777" w:rsidR="001A5E58" w:rsidRDefault="00F84F72">
      <w:pPr>
        <w:spacing w:after="0" w:line="276" w:lineRule="auto"/>
        <w:rPr>
          <w:b/>
          <w:sz w:val="28"/>
          <w:szCs w:val="28"/>
        </w:rPr>
      </w:pPr>
      <w:r>
        <w:rPr>
          <w:b/>
          <w:sz w:val="28"/>
          <w:szCs w:val="28"/>
        </w:rPr>
        <w:t>Limitations and caveats</w:t>
      </w:r>
    </w:p>
    <w:p w14:paraId="547BFFC6" w14:textId="77777777" w:rsidR="001A5E58" w:rsidRDefault="00F84F72">
      <w:pPr>
        <w:spacing w:after="0" w:line="276" w:lineRule="auto"/>
        <w:rPr>
          <w:sz w:val="28"/>
          <w:szCs w:val="28"/>
        </w:rPr>
      </w:pPr>
      <w:r>
        <w:rPr>
          <w:sz w:val="28"/>
          <w:szCs w:val="28"/>
        </w:rPr>
        <w:t>While the LCFS is the best and most appropriate dataset for this analysis, it is not without its flaws. As a survey, data on e.g. receipt of certain benefits might be under or overreported. Similarly with income and expenditure data. As such, model estimates are very much “order of magnitude” estimates presenting the most accurate picture possible with the data available. We also believe that the relative ranking of policies is likely to hold true both in reality and within the data itself.</w:t>
      </w:r>
    </w:p>
    <w:p w14:paraId="341043BE" w14:textId="77777777" w:rsidR="001A5E58" w:rsidRDefault="001A5E58">
      <w:pPr>
        <w:spacing w:after="0" w:line="276" w:lineRule="auto"/>
        <w:rPr>
          <w:sz w:val="28"/>
          <w:szCs w:val="28"/>
        </w:rPr>
      </w:pPr>
    </w:p>
    <w:p w14:paraId="7B9DE92F" w14:textId="2E0FA9F5" w:rsidR="001A5E58" w:rsidRDefault="1536D120" w:rsidP="7E2D8D79">
      <w:pPr>
        <w:spacing w:after="0" w:line="276" w:lineRule="auto"/>
        <w:rPr>
          <w:b/>
          <w:bCs/>
          <w:i/>
          <w:iCs/>
          <w:sz w:val="28"/>
          <w:szCs w:val="28"/>
        </w:rPr>
      </w:pPr>
      <w:r w:rsidRPr="7E2D8D79">
        <w:rPr>
          <w:b/>
          <w:bCs/>
          <w:i/>
          <w:iCs/>
          <w:sz w:val="28"/>
          <w:szCs w:val="28"/>
        </w:rPr>
        <w:t>Overview of LCFS variables used</w:t>
      </w:r>
    </w:p>
    <w:p w14:paraId="7407B884" w14:textId="77777777" w:rsidR="001A5E58" w:rsidRDefault="00F84F72">
      <w:pPr>
        <w:spacing w:after="0" w:line="276" w:lineRule="auto"/>
        <w:rPr>
          <w:sz w:val="28"/>
          <w:szCs w:val="28"/>
        </w:rPr>
      </w:pPr>
      <w:r>
        <w:rPr>
          <w:b/>
          <w:sz w:val="28"/>
          <w:szCs w:val="28"/>
        </w:rPr>
        <w:t>On disability status:</w:t>
      </w:r>
    </w:p>
    <w:p w14:paraId="673E9750" w14:textId="77777777" w:rsidR="001A5E58" w:rsidRDefault="00F84F72">
      <w:pPr>
        <w:spacing w:after="0" w:line="276" w:lineRule="auto"/>
        <w:rPr>
          <w:sz w:val="28"/>
          <w:szCs w:val="28"/>
        </w:rPr>
      </w:pPr>
      <w:proofErr w:type="spellStart"/>
      <w:r>
        <w:rPr>
          <w:sz w:val="28"/>
          <w:szCs w:val="28"/>
        </w:rPr>
        <w:t>Healill</w:t>
      </w:r>
      <w:proofErr w:type="spellEnd"/>
      <w:r>
        <w:rPr>
          <w:sz w:val="28"/>
          <w:szCs w:val="28"/>
        </w:rPr>
        <w:t xml:space="preserve"> = Have you got a physical mental health </w:t>
      </w:r>
      <w:proofErr w:type="spellStart"/>
      <w:r>
        <w:rPr>
          <w:sz w:val="28"/>
          <w:szCs w:val="28"/>
        </w:rPr>
        <w:t>cond</w:t>
      </w:r>
      <w:proofErr w:type="spellEnd"/>
      <w:r>
        <w:rPr>
          <w:sz w:val="28"/>
          <w:szCs w:val="28"/>
        </w:rPr>
        <w:t xml:space="preserve"> lasting more than 12 months?</w:t>
      </w:r>
    </w:p>
    <w:p w14:paraId="673FBF89" w14:textId="77777777" w:rsidR="001A5E58" w:rsidRDefault="00F84F72">
      <w:pPr>
        <w:spacing w:after="0" w:line="276" w:lineRule="auto"/>
        <w:rPr>
          <w:sz w:val="28"/>
          <w:szCs w:val="28"/>
        </w:rPr>
      </w:pPr>
      <w:r>
        <w:rPr>
          <w:sz w:val="28"/>
          <w:szCs w:val="28"/>
        </w:rPr>
        <w:t>Redact = To what extent does this condition impact your day-to-day life (a lot, a little, not at all)</w:t>
      </w:r>
    </w:p>
    <w:p w14:paraId="13A3E50E" w14:textId="77777777" w:rsidR="001A5E58" w:rsidRDefault="001A5E58">
      <w:pPr>
        <w:spacing w:after="0" w:line="276" w:lineRule="auto"/>
        <w:rPr>
          <w:sz w:val="28"/>
          <w:szCs w:val="28"/>
        </w:rPr>
      </w:pPr>
    </w:p>
    <w:p w14:paraId="11970E59" w14:textId="77777777" w:rsidR="001A5E58" w:rsidRDefault="00F84F72">
      <w:pPr>
        <w:spacing w:after="0" w:line="276" w:lineRule="auto"/>
        <w:rPr>
          <w:b/>
          <w:sz w:val="28"/>
          <w:szCs w:val="28"/>
        </w:rPr>
      </w:pPr>
      <w:r>
        <w:rPr>
          <w:b/>
          <w:sz w:val="28"/>
          <w:szCs w:val="28"/>
        </w:rPr>
        <w:t>On age of household:</w:t>
      </w:r>
    </w:p>
    <w:p w14:paraId="6B0E3203" w14:textId="77777777" w:rsidR="001A5E58" w:rsidRDefault="00F84F72">
      <w:pPr>
        <w:spacing w:after="0" w:line="276" w:lineRule="auto"/>
        <w:rPr>
          <w:sz w:val="28"/>
          <w:szCs w:val="28"/>
        </w:rPr>
      </w:pPr>
      <w:r>
        <w:rPr>
          <w:sz w:val="28"/>
          <w:szCs w:val="28"/>
        </w:rPr>
        <w:t>A065p = Age of household reference person</w:t>
      </w:r>
    </w:p>
    <w:p w14:paraId="1AA19A73" w14:textId="77777777" w:rsidR="001A5E58" w:rsidRDefault="001A5E58">
      <w:pPr>
        <w:spacing w:after="0" w:line="276" w:lineRule="auto"/>
        <w:rPr>
          <w:sz w:val="28"/>
          <w:szCs w:val="28"/>
        </w:rPr>
      </w:pPr>
    </w:p>
    <w:p w14:paraId="44AEDCE8" w14:textId="77777777" w:rsidR="001A5E58" w:rsidRDefault="00F84F72">
      <w:pPr>
        <w:spacing w:after="0" w:line="276" w:lineRule="auto"/>
        <w:rPr>
          <w:sz w:val="28"/>
          <w:szCs w:val="28"/>
        </w:rPr>
      </w:pPr>
      <w:r>
        <w:rPr>
          <w:b/>
          <w:sz w:val="28"/>
          <w:szCs w:val="28"/>
        </w:rPr>
        <w:t>On equivalised income net of housing costs:</w:t>
      </w:r>
    </w:p>
    <w:p w14:paraId="035D93CA" w14:textId="77777777" w:rsidR="001A5E58" w:rsidRDefault="00F84F72">
      <w:pPr>
        <w:spacing w:after="0" w:line="276" w:lineRule="auto"/>
        <w:rPr>
          <w:sz w:val="28"/>
          <w:szCs w:val="28"/>
        </w:rPr>
      </w:pPr>
      <w:r>
        <w:rPr>
          <w:sz w:val="28"/>
          <w:szCs w:val="28"/>
        </w:rPr>
        <w:t xml:space="preserve">P389p = Normal weekly disposable </w:t>
      </w:r>
      <w:proofErr w:type="spellStart"/>
      <w:r>
        <w:rPr>
          <w:sz w:val="28"/>
          <w:szCs w:val="28"/>
        </w:rPr>
        <w:t>hhld</w:t>
      </w:r>
      <w:proofErr w:type="spellEnd"/>
      <w:r>
        <w:rPr>
          <w:sz w:val="28"/>
          <w:szCs w:val="28"/>
        </w:rPr>
        <w:t xml:space="preserve"> income </w:t>
      </w:r>
    </w:p>
    <w:p w14:paraId="37FB6840" w14:textId="77777777" w:rsidR="001A5E58" w:rsidRDefault="00F84F72">
      <w:pPr>
        <w:spacing w:after="0" w:line="276" w:lineRule="auto"/>
        <w:rPr>
          <w:sz w:val="28"/>
          <w:szCs w:val="28"/>
        </w:rPr>
      </w:pPr>
      <w:r>
        <w:rPr>
          <w:sz w:val="28"/>
          <w:szCs w:val="28"/>
        </w:rPr>
        <w:t>P515tp = Net housing costs</w:t>
      </w:r>
    </w:p>
    <w:p w14:paraId="42DB3E1C" w14:textId="77777777" w:rsidR="001A5E58" w:rsidRDefault="00F84F72">
      <w:pPr>
        <w:spacing w:after="0" w:line="276" w:lineRule="auto"/>
        <w:rPr>
          <w:sz w:val="28"/>
          <w:szCs w:val="28"/>
        </w:rPr>
      </w:pPr>
      <w:proofErr w:type="spellStart"/>
      <w:r>
        <w:rPr>
          <w:sz w:val="28"/>
          <w:szCs w:val="28"/>
        </w:rPr>
        <w:lastRenderedPageBreak/>
        <w:t>Mcs</w:t>
      </w:r>
      <w:proofErr w:type="spellEnd"/>
      <w:r>
        <w:rPr>
          <w:sz w:val="28"/>
          <w:szCs w:val="28"/>
        </w:rPr>
        <w:t xml:space="preserve"> = equivalisation factors</w:t>
      </w:r>
    </w:p>
    <w:p w14:paraId="6FEA905C" w14:textId="77777777" w:rsidR="001A5E58" w:rsidRDefault="001A5E58">
      <w:pPr>
        <w:spacing w:after="0" w:line="276" w:lineRule="auto"/>
        <w:rPr>
          <w:sz w:val="28"/>
          <w:szCs w:val="28"/>
        </w:rPr>
      </w:pPr>
    </w:p>
    <w:p w14:paraId="14B1119C" w14:textId="77777777" w:rsidR="001A5E58" w:rsidRDefault="00F84F72">
      <w:pPr>
        <w:spacing w:after="0" w:line="276" w:lineRule="auto"/>
        <w:rPr>
          <w:color w:val="0000FF"/>
          <w:sz w:val="28"/>
          <w:szCs w:val="28"/>
        </w:rPr>
      </w:pPr>
      <w:r>
        <w:rPr>
          <w:b/>
          <w:sz w:val="28"/>
          <w:szCs w:val="28"/>
        </w:rPr>
        <w:t>Benefits and tax credit variables:</w:t>
      </w:r>
    </w:p>
    <w:p w14:paraId="67FD4EA2" w14:textId="77777777" w:rsidR="001A5E58" w:rsidRDefault="00F84F72">
      <w:pPr>
        <w:spacing w:after="0" w:line="276" w:lineRule="auto"/>
        <w:rPr>
          <w:sz w:val="28"/>
          <w:szCs w:val="28"/>
        </w:rPr>
      </w:pPr>
      <w:r>
        <w:rPr>
          <w:sz w:val="28"/>
          <w:szCs w:val="28"/>
        </w:rPr>
        <w:t>p204 = housing benefit</w:t>
      </w:r>
    </w:p>
    <w:p w14:paraId="7BBE8932" w14:textId="77777777" w:rsidR="001A5E58" w:rsidRDefault="00F84F72">
      <w:pPr>
        <w:spacing w:after="0" w:line="276" w:lineRule="auto"/>
        <w:rPr>
          <w:sz w:val="28"/>
          <w:szCs w:val="28"/>
        </w:rPr>
      </w:pPr>
      <w:r>
        <w:rPr>
          <w:sz w:val="28"/>
          <w:szCs w:val="28"/>
        </w:rPr>
        <w:t>B552 = PIP (care component) - last amount received</w:t>
      </w:r>
    </w:p>
    <w:p w14:paraId="57A23607" w14:textId="77777777" w:rsidR="001A5E58" w:rsidRDefault="00F84F72">
      <w:pPr>
        <w:spacing w:after="0" w:line="276" w:lineRule="auto"/>
        <w:rPr>
          <w:sz w:val="28"/>
          <w:szCs w:val="28"/>
        </w:rPr>
      </w:pPr>
      <w:r>
        <w:rPr>
          <w:sz w:val="28"/>
          <w:szCs w:val="28"/>
        </w:rPr>
        <w:t xml:space="preserve">B553 = PIP (mobility component) - last amount received </w:t>
      </w:r>
    </w:p>
    <w:p w14:paraId="04FF95EB" w14:textId="77777777" w:rsidR="001A5E58" w:rsidRDefault="00F84F72">
      <w:pPr>
        <w:spacing w:after="0" w:line="276" w:lineRule="auto"/>
        <w:rPr>
          <w:sz w:val="28"/>
          <w:szCs w:val="28"/>
        </w:rPr>
      </w:pPr>
      <w:r>
        <w:rPr>
          <w:sz w:val="28"/>
          <w:szCs w:val="28"/>
        </w:rPr>
        <w:t>B403  = DLA (self-care)</w:t>
      </w:r>
    </w:p>
    <w:p w14:paraId="5C271702" w14:textId="77777777" w:rsidR="001A5E58" w:rsidRDefault="00F84F72">
      <w:pPr>
        <w:spacing w:after="0" w:line="276" w:lineRule="auto"/>
        <w:rPr>
          <w:sz w:val="28"/>
          <w:szCs w:val="28"/>
        </w:rPr>
      </w:pPr>
      <w:r>
        <w:rPr>
          <w:sz w:val="28"/>
          <w:szCs w:val="28"/>
        </w:rPr>
        <w:t>B405 = DLA (mobility)</w:t>
      </w:r>
    </w:p>
    <w:p w14:paraId="62AAA23C" w14:textId="77777777" w:rsidR="001A5E58" w:rsidRDefault="00F84F72">
      <w:pPr>
        <w:spacing w:after="0" w:line="276" w:lineRule="auto"/>
        <w:rPr>
          <w:sz w:val="28"/>
          <w:szCs w:val="28"/>
        </w:rPr>
      </w:pPr>
      <w:r>
        <w:rPr>
          <w:sz w:val="28"/>
          <w:szCs w:val="28"/>
        </w:rPr>
        <w:t xml:space="preserve">P027 = ESA amount </w:t>
      </w:r>
    </w:p>
    <w:p w14:paraId="471EB0F6" w14:textId="77777777" w:rsidR="001A5E58" w:rsidRDefault="00F84F72">
      <w:pPr>
        <w:spacing w:after="0" w:line="276" w:lineRule="auto"/>
        <w:rPr>
          <w:sz w:val="28"/>
          <w:szCs w:val="28"/>
        </w:rPr>
      </w:pPr>
      <w:r>
        <w:rPr>
          <w:sz w:val="28"/>
          <w:szCs w:val="28"/>
        </w:rPr>
        <w:t>B421 =  Attendance Allowance - the last amount received</w:t>
      </w:r>
    </w:p>
    <w:p w14:paraId="7F77AD0C" w14:textId="77777777" w:rsidR="001A5E58" w:rsidRDefault="00F84F72">
      <w:pPr>
        <w:spacing w:after="0" w:line="276" w:lineRule="auto"/>
        <w:rPr>
          <w:sz w:val="28"/>
          <w:szCs w:val="28"/>
        </w:rPr>
      </w:pPr>
      <w:r>
        <w:rPr>
          <w:sz w:val="28"/>
          <w:szCs w:val="28"/>
        </w:rPr>
        <w:t>B343 = Invalid care allowance - last amount received</w:t>
      </w:r>
    </w:p>
    <w:p w14:paraId="2D36A3D7" w14:textId="77777777" w:rsidR="001A5E58" w:rsidRDefault="00F84F72">
      <w:pPr>
        <w:spacing w:after="0" w:line="276" w:lineRule="auto"/>
        <w:rPr>
          <w:sz w:val="28"/>
          <w:szCs w:val="28"/>
        </w:rPr>
      </w:pPr>
      <w:r>
        <w:rPr>
          <w:sz w:val="28"/>
          <w:szCs w:val="28"/>
        </w:rPr>
        <w:t>P024  = Job Seekers Allowance amount</w:t>
      </w:r>
    </w:p>
    <w:p w14:paraId="243839F6" w14:textId="77777777" w:rsidR="001A5E58" w:rsidRDefault="00F84F72">
      <w:pPr>
        <w:spacing w:after="0" w:line="276" w:lineRule="auto"/>
        <w:rPr>
          <w:sz w:val="28"/>
          <w:szCs w:val="28"/>
        </w:rPr>
      </w:pPr>
      <w:r>
        <w:rPr>
          <w:sz w:val="28"/>
          <w:szCs w:val="28"/>
        </w:rPr>
        <w:t xml:space="preserve">P025 = Income support amount </w:t>
      </w:r>
    </w:p>
    <w:p w14:paraId="1C145774" w14:textId="77777777" w:rsidR="001A5E58" w:rsidRDefault="00F84F72">
      <w:pPr>
        <w:spacing w:after="0" w:line="276" w:lineRule="auto"/>
        <w:rPr>
          <w:sz w:val="28"/>
          <w:szCs w:val="28"/>
        </w:rPr>
      </w:pPr>
      <w:r>
        <w:rPr>
          <w:sz w:val="28"/>
          <w:szCs w:val="28"/>
        </w:rPr>
        <w:t>B3651 = Pension credit amount</w:t>
      </w:r>
    </w:p>
    <w:p w14:paraId="536BC2C0" w14:textId="77777777" w:rsidR="001A5E58" w:rsidRDefault="00F84F72">
      <w:pPr>
        <w:spacing w:after="0" w:line="276" w:lineRule="auto"/>
        <w:rPr>
          <w:sz w:val="28"/>
          <w:szCs w:val="28"/>
        </w:rPr>
      </w:pPr>
      <w:r>
        <w:rPr>
          <w:sz w:val="28"/>
          <w:szCs w:val="28"/>
        </w:rPr>
        <w:t>B550 = Universal Credit amount</w:t>
      </w:r>
    </w:p>
    <w:p w14:paraId="681B0FC5" w14:textId="77777777" w:rsidR="001A5E58" w:rsidRDefault="00F84F72">
      <w:pPr>
        <w:spacing w:after="0" w:line="276" w:lineRule="auto"/>
        <w:rPr>
          <w:sz w:val="28"/>
          <w:szCs w:val="28"/>
        </w:rPr>
      </w:pPr>
      <w:proofErr w:type="spellStart"/>
      <w:r>
        <w:rPr>
          <w:sz w:val="28"/>
          <w:szCs w:val="28"/>
        </w:rPr>
        <w:t>Dvctc</w:t>
      </w:r>
      <w:proofErr w:type="spellEnd"/>
      <w:r>
        <w:rPr>
          <w:sz w:val="28"/>
          <w:szCs w:val="28"/>
        </w:rPr>
        <w:t xml:space="preserve"> = child tax credit amount</w:t>
      </w:r>
    </w:p>
    <w:p w14:paraId="7138F877" w14:textId="77777777" w:rsidR="001A5E58" w:rsidRDefault="00F84F72">
      <w:pPr>
        <w:spacing w:after="0" w:line="276" w:lineRule="auto"/>
        <w:rPr>
          <w:sz w:val="28"/>
          <w:szCs w:val="28"/>
        </w:rPr>
      </w:pPr>
      <w:proofErr w:type="spellStart"/>
      <w:r>
        <w:rPr>
          <w:sz w:val="28"/>
          <w:szCs w:val="28"/>
        </w:rPr>
        <w:t>Dvwtc</w:t>
      </w:r>
      <w:proofErr w:type="spellEnd"/>
      <w:r>
        <w:rPr>
          <w:sz w:val="28"/>
          <w:szCs w:val="28"/>
        </w:rPr>
        <w:t xml:space="preserve"> = working tax credit amount</w:t>
      </w:r>
    </w:p>
    <w:p w14:paraId="31A0EFC2" w14:textId="77777777" w:rsidR="001A5E58" w:rsidRDefault="001A5E58">
      <w:pPr>
        <w:spacing w:after="0" w:line="276" w:lineRule="auto"/>
        <w:rPr>
          <w:i/>
          <w:color w:val="0000FF"/>
          <w:sz w:val="28"/>
          <w:szCs w:val="28"/>
        </w:rPr>
      </w:pPr>
    </w:p>
    <w:p w14:paraId="061AA924" w14:textId="77777777" w:rsidR="001A5E58" w:rsidRDefault="00F84F72">
      <w:pPr>
        <w:spacing w:after="0" w:line="276" w:lineRule="auto"/>
        <w:rPr>
          <w:i/>
          <w:color w:val="0000FF"/>
          <w:sz w:val="28"/>
          <w:szCs w:val="28"/>
        </w:rPr>
      </w:pPr>
      <w:r>
        <w:rPr>
          <w:b/>
          <w:sz w:val="28"/>
          <w:szCs w:val="28"/>
        </w:rPr>
        <w:t>On energy expenditure:</w:t>
      </w:r>
    </w:p>
    <w:p w14:paraId="47D77E61" w14:textId="77777777" w:rsidR="001A5E58" w:rsidRDefault="00F84F72">
      <w:pPr>
        <w:spacing w:after="0" w:line="276" w:lineRule="auto"/>
        <w:rPr>
          <w:sz w:val="28"/>
          <w:szCs w:val="28"/>
        </w:rPr>
      </w:pPr>
      <w:r>
        <w:rPr>
          <w:sz w:val="28"/>
          <w:szCs w:val="28"/>
        </w:rPr>
        <w:t>B170 = gas amount paid in last account</w:t>
      </w:r>
    </w:p>
    <w:p w14:paraId="311820D6" w14:textId="77777777" w:rsidR="001A5E58" w:rsidRDefault="00F84F72">
      <w:pPr>
        <w:spacing w:after="0" w:line="276" w:lineRule="auto"/>
        <w:rPr>
          <w:sz w:val="28"/>
          <w:szCs w:val="28"/>
        </w:rPr>
      </w:pPr>
      <w:r>
        <w:rPr>
          <w:sz w:val="28"/>
          <w:szCs w:val="28"/>
        </w:rPr>
        <w:t>B1701 = separate gas meter payment</w:t>
      </w:r>
    </w:p>
    <w:p w14:paraId="05B0842B" w14:textId="77777777" w:rsidR="001A5E58" w:rsidRDefault="00F84F72">
      <w:pPr>
        <w:spacing w:after="0" w:line="276" w:lineRule="auto"/>
        <w:rPr>
          <w:sz w:val="28"/>
          <w:szCs w:val="28"/>
        </w:rPr>
      </w:pPr>
      <w:r>
        <w:rPr>
          <w:sz w:val="28"/>
          <w:szCs w:val="28"/>
        </w:rPr>
        <w:t>B226 = Gas component of a combined utility bill</w:t>
      </w:r>
    </w:p>
    <w:p w14:paraId="5FCB119A" w14:textId="77777777" w:rsidR="001A5E58" w:rsidRDefault="00F84F72">
      <w:pPr>
        <w:spacing w:after="0" w:line="276" w:lineRule="auto"/>
        <w:rPr>
          <w:sz w:val="28"/>
          <w:szCs w:val="28"/>
        </w:rPr>
      </w:pPr>
      <w:r>
        <w:rPr>
          <w:sz w:val="28"/>
          <w:szCs w:val="28"/>
        </w:rPr>
        <w:t>B173 = Rebate for the separate Gas amount</w:t>
      </w:r>
    </w:p>
    <w:p w14:paraId="0C6F32B1" w14:textId="77777777" w:rsidR="001A5E58" w:rsidRDefault="001A5E58">
      <w:pPr>
        <w:spacing w:after="0" w:line="276" w:lineRule="auto"/>
        <w:rPr>
          <w:sz w:val="28"/>
          <w:szCs w:val="28"/>
        </w:rPr>
      </w:pPr>
    </w:p>
    <w:p w14:paraId="20F85970" w14:textId="77777777" w:rsidR="001A5E58" w:rsidRDefault="00F84F72">
      <w:pPr>
        <w:spacing w:after="0" w:line="276" w:lineRule="auto"/>
        <w:rPr>
          <w:sz w:val="28"/>
          <w:szCs w:val="28"/>
        </w:rPr>
      </w:pPr>
      <w:r>
        <w:rPr>
          <w:sz w:val="28"/>
          <w:szCs w:val="28"/>
        </w:rPr>
        <w:t>B175 = Electricity amount paid in last account</w:t>
      </w:r>
    </w:p>
    <w:p w14:paraId="728BECCF" w14:textId="77777777" w:rsidR="001A5E58" w:rsidRDefault="00F84F72">
      <w:pPr>
        <w:spacing w:after="0" w:line="276" w:lineRule="auto"/>
        <w:rPr>
          <w:sz w:val="28"/>
          <w:szCs w:val="28"/>
        </w:rPr>
      </w:pPr>
      <w:r>
        <w:rPr>
          <w:sz w:val="28"/>
          <w:szCs w:val="28"/>
        </w:rPr>
        <w:t>B1751 = Separate electricity meter payment</w:t>
      </w:r>
    </w:p>
    <w:p w14:paraId="7D08BA34" w14:textId="77777777" w:rsidR="001A5E58" w:rsidRDefault="00F84F72">
      <w:pPr>
        <w:spacing w:after="0" w:line="276" w:lineRule="auto"/>
        <w:rPr>
          <w:sz w:val="28"/>
          <w:szCs w:val="28"/>
        </w:rPr>
      </w:pPr>
      <w:r>
        <w:rPr>
          <w:sz w:val="28"/>
          <w:szCs w:val="28"/>
        </w:rPr>
        <w:t>B227 = Electricity component of a combined utility bill</w:t>
      </w:r>
    </w:p>
    <w:p w14:paraId="52DC6A94" w14:textId="77777777" w:rsidR="001A5E58" w:rsidRDefault="00F84F72">
      <w:pPr>
        <w:spacing w:after="0" w:line="276" w:lineRule="auto"/>
        <w:rPr>
          <w:sz w:val="28"/>
          <w:szCs w:val="28"/>
        </w:rPr>
      </w:pPr>
      <w:r>
        <w:rPr>
          <w:sz w:val="28"/>
          <w:szCs w:val="28"/>
        </w:rPr>
        <w:t>B178 = Rebate for separate Electricity amount</w:t>
      </w:r>
    </w:p>
    <w:p w14:paraId="6CF19C2F" w14:textId="77777777" w:rsidR="001A5E58" w:rsidRDefault="001A5E58">
      <w:pPr>
        <w:spacing w:after="0" w:line="276" w:lineRule="auto"/>
        <w:rPr>
          <w:sz w:val="28"/>
          <w:szCs w:val="28"/>
        </w:rPr>
      </w:pPr>
    </w:p>
    <w:p w14:paraId="0C01B0E9" w14:textId="77777777" w:rsidR="001A5E58" w:rsidRDefault="00F84F72">
      <w:pPr>
        <w:spacing w:after="0" w:line="276" w:lineRule="auto"/>
        <w:rPr>
          <w:sz w:val="28"/>
          <w:szCs w:val="28"/>
        </w:rPr>
      </w:pPr>
      <w:r>
        <w:rPr>
          <w:sz w:val="28"/>
          <w:szCs w:val="28"/>
        </w:rPr>
        <w:t>B174 = Rebate for combined gas and electricity</w:t>
      </w:r>
    </w:p>
    <w:p w14:paraId="37EC9B9C" w14:textId="77777777" w:rsidR="001A5E58" w:rsidRDefault="00F84F72">
      <w:pPr>
        <w:spacing w:after="0" w:line="276" w:lineRule="auto"/>
        <w:rPr>
          <w:sz w:val="28"/>
          <w:szCs w:val="28"/>
        </w:rPr>
      </w:pPr>
      <w:r>
        <w:rPr>
          <w:sz w:val="28"/>
          <w:szCs w:val="28"/>
        </w:rPr>
        <w:t>B233 = Combined gas and electricity - pre-payment meter</w:t>
      </w:r>
    </w:p>
    <w:p w14:paraId="2C63724A" w14:textId="47901C91" w:rsidR="0056361C" w:rsidRDefault="0056361C" w:rsidP="0056361C">
      <w:pPr>
        <w:rPr>
          <w:sz w:val="28"/>
          <w:szCs w:val="28"/>
        </w:rPr>
      </w:pPr>
    </w:p>
    <w:p w14:paraId="136303A5" w14:textId="2F270484" w:rsidR="0056361C" w:rsidRDefault="0056361C" w:rsidP="0056361C">
      <w:pPr>
        <w:rPr>
          <w:sz w:val="28"/>
          <w:szCs w:val="28"/>
        </w:rPr>
      </w:pPr>
      <w:r w:rsidRPr="0056361C">
        <w:rPr>
          <w:sz w:val="28"/>
          <w:szCs w:val="28"/>
        </w:rPr>
        <w:t>B017= Amount spent on oil for heading</w:t>
      </w:r>
      <w:r>
        <w:rPr>
          <w:sz w:val="28"/>
          <w:szCs w:val="28"/>
        </w:rPr>
        <w:br/>
      </w:r>
      <w:r w:rsidRPr="0056361C">
        <w:rPr>
          <w:sz w:val="28"/>
          <w:szCs w:val="28"/>
        </w:rPr>
        <w:t xml:space="preserve">B018 = Amount spent on bottled gas for heating </w:t>
      </w:r>
    </w:p>
    <w:p w14:paraId="0B1A75A9" w14:textId="77777777" w:rsidR="001A5E58" w:rsidRDefault="001A5E58">
      <w:pPr>
        <w:spacing w:after="0" w:line="276" w:lineRule="auto"/>
        <w:rPr>
          <w:sz w:val="28"/>
          <w:szCs w:val="28"/>
        </w:rPr>
      </w:pPr>
    </w:p>
    <w:p w14:paraId="11207A89" w14:textId="77777777" w:rsidR="001A5E58" w:rsidRDefault="5A4A5C02" w:rsidP="1A6DFC8B">
      <w:pPr>
        <w:spacing w:after="0" w:line="276" w:lineRule="auto"/>
        <w:rPr>
          <w:b/>
          <w:bCs/>
          <w:sz w:val="28"/>
          <w:szCs w:val="28"/>
        </w:rPr>
      </w:pPr>
      <w:r w:rsidRPr="1A6DFC8B">
        <w:rPr>
          <w:b/>
          <w:bCs/>
          <w:sz w:val="28"/>
          <w:szCs w:val="28"/>
        </w:rPr>
        <w:t>On energy payment method (used to identify standard credit customers):</w:t>
      </w:r>
    </w:p>
    <w:p w14:paraId="26099EB5" w14:textId="77777777" w:rsidR="001A5E58" w:rsidRDefault="00F84F72">
      <w:pPr>
        <w:spacing w:after="0" w:line="276" w:lineRule="auto"/>
        <w:rPr>
          <w:sz w:val="28"/>
          <w:szCs w:val="28"/>
        </w:rPr>
      </w:pPr>
      <w:r>
        <w:rPr>
          <w:sz w:val="28"/>
          <w:szCs w:val="28"/>
        </w:rPr>
        <w:t>A128 = Gas - method of payment</w:t>
      </w:r>
    </w:p>
    <w:p w14:paraId="5A1A3D6D" w14:textId="77777777" w:rsidR="001A5E58" w:rsidRDefault="00F84F72">
      <w:pPr>
        <w:spacing w:after="0" w:line="276" w:lineRule="auto"/>
        <w:rPr>
          <w:sz w:val="28"/>
          <w:szCs w:val="28"/>
        </w:rPr>
      </w:pPr>
      <w:r>
        <w:rPr>
          <w:sz w:val="28"/>
          <w:szCs w:val="28"/>
        </w:rPr>
        <w:lastRenderedPageBreak/>
        <w:t>A129 =  Payment method for combined gas electric</w:t>
      </w:r>
    </w:p>
    <w:p w14:paraId="5B5F903D" w14:textId="0035837B" w:rsidR="001A5E58" w:rsidRDefault="71E812B3" w:rsidP="7E2D8D79">
      <w:pPr>
        <w:spacing w:after="0" w:line="276" w:lineRule="auto"/>
      </w:pPr>
      <w:r w:rsidRPr="7E2D8D79">
        <w:rPr>
          <w:sz w:val="28"/>
          <w:szCs w:val="28"/>
        </w:rPr>
        <w:t>A130 = Electricity - method of payment</w:t>
      </w:r>
    </w:p>
    <w:p w14:paraId="26E75FD8" w14:textId="12058589" w:rsidR="001A5E58" w:rsidRDefault="0056361C" w:rsidP="3C85173F">
      <w:pPr>
        <w:pStyle w:val="Heading2"/>
        <w:rPr>
          <w:sz w:val="36"/>
          <w:szCs w:val="36"/>
        </w:rPr>
      </w:pPr>
      <w:r>
        <w:rPr>
          <w:sz w:val="36"/>
          <w:szCs w:val="36"/>
        </w:rPr>
        <w:t xml:space="preserve">A2. </w:t>
      </w:r>
      <w:r w:rsidR="3D69D39D" w:rsidRPr="3C85173F">
        <w:rPr>
          <w:sz w:val="36"/>
          <w:szCs w:val="36"/>
        </w:rPr>
        <w:t>Additional u</w:t>
      </w:r>
      <w:r w:rsidR="4D6A1BC0" w:rsidRPr="3C85173F">
        <w:rPr>
          <w:sz w:val="36"/>
          <w:szCs w:val="36"/>
        </w:rPr>
        <w:t xml:space="preserve">nit rate </w:t>
      </w:r>
      <w:r w:rsidR="6E08155F" w:rsidRPr="3C85173F">
        <w:rPr>
          <w:sz w:val="36"/>
          <w:szCs w:val="36"/>
        </w:rPr>
        <w:t>discount scenarios</w:t>
      </w:r>
    </w:p>
    <w:p w14:paraId="44B98DBF" w14:textId="196DCDFE" w:rsidR="001A5E58" w:rsidRDefault="001A5E58" w:rsidP="3C85173F">
      <w:pPr>
        <w:spacing w:after="0" w:line="276" w:lineRule="auto"/>
        <w:rPr>
          <w:sz w:val="28"/>
          <w:szCs w:val="28"/>
        </w:rPr>
      </w:pPr>
    </w:p>
    <w:p w14:paraId="2A5B0983" w14:textId="3E4D0997" w:rsidR="29468D37" w:rsidRDefault="490E13C9" w:rsidP="1A6DFC8B">
      <w:pPr>
        <w:spacing w:after="0" w:line="276" w:lineRule="auto"/>
        <w:rPr>
          <w:sz w:val="28"/>
          <w:szCs w:val="28"/>
        </w:rPr>
      </w:pPr>
      <w:r w:rsidRPr="1A6DFC8B">
        <w:rPr>
          <w:sz w:val="28"/>
          <w:szCs w:val="28"/>
        </w:rPr>
        <w:t>T</w:t>
      </w:r>
      <w:r w:rsidR="31C51319" w:rsidRPr="1A6DFC8B">
        <w:rPr>
          <w:sz w:val="28"/>
          <w:szCs w:val="28"/>
        </w:rPr>
        <w:t>he scenarios featured in Table 4 were also modelled for a unit rate discount</w:t>
      </w:r>
      <w:r w:rsidR="350009AF" w:rsidRPr="1A6DFC8B">
        <w:rPr>
          <w:sz w:val="28"/>
          <w:szCs w:val="28"/>
        </w:rPr>
        <w:t>,</w:t>
      </w:r>
      <w:r w:rsidR="31C51319" w:rsidRPr="1A6DFC8B">
        <w:rPr>
          <w:sz w:val="28"/>
          <w:szCs w:val="28"/>
        </w:rPr>
        <w:t xml:space="preserve"> </w:t>
      </w:r>
      <w:r w:rsidR="6F39E543" w:rsidRPr="1A6DFC8B">
        <w:rPr>
          <w:sz w:val="28"/>
          <w:szCs w:val="28"/>
        </w:rPr>
        <w:t>build</w:t>
      </w:r>
      <w:r w:rsidR="414F7D40" w:rsidRPr="1A6DFC8B">
        <w:rPr>
          <w:sz w:val="28"/>
          <w:szCs w:val="28"/>
        </w:rPr>
        <w:t>ing</w:t>
      </w:r>
      <w:r w:rsidR="6F39E543" w:rsidRPr="1A6DFC8B">
        <w:rPr>
          <w:sz w:val="28"/>
          <w:szCs w:val="28"/>
        </w:rPr>
        <w:t xml:space="preserve"> on the Warm Home Discount eligibility to also include disabled households, given that disability benefits were not included in the WHD expansion.</w:t>
      </w:r>
      <w:r w:rsidR="6101AE8E" w:rsidRPr="1A6DFC8B">
        <w:rPr>
          <w:sz w:val="28"/>
          <w:szCs w:val="28"/>
        </w:rPr>
        <w:t xml:space="preserve"> These scenarios do not feature in the main report as the</w:t>
      </w:r>
      <w:r w:rsidR="762601B4" w:rsidRPr="1A6DFC8B">
        <w:rPr>
          <w:sz w:val="28"/>
          <w:szCs w:val="28"/>
        </w:rPr>
        <w:t xml:space="preserve"> u</w:t>
      </w:r>
      <w:r w:rsidR="0DE702B4" w:rsidRPr="1A6DFC8B">
        <w:rPr>
          <w:sz w:val="28"/>
          <w:szCs w:val="28"/>
        </w:rPr>
        <w:t xml:space="preserve">nit </w:t>
      </w:r>
      <w:r w:rsidR="45537D04" w:rsidRPr="1A6DFC8B">
        <w:rPr>
          <w:sz w:val="28"/>
          <w:szCs w:val="28"/>
        </w:rPr>
        <w:t>r</w:t>
      </w:r>
      <w:r w:rsidR="0DE702B4" w:rsidRPr="1A6DFC8B">
        <w:rPr>
          <w:sz w:val="28"/>
          <w:szCs w:val="28"/>
        </w:rPr>
        <w:t xml:space="preserve">ate </w:t>
      </w:r>
      <w:r w:rsidR="0E78C833" w:rsidRPr="1A6DFC8B">
        <w:rPr>
          <w:sz w:val="28"/>
          <w:szCs w:val="28"/>
        </w:rPr>
        <w:t>d</w:t>
      </w:r>
      <w:r w:rsidR="0DE702B4" w:rsidRPr="1A6DFC8B">
        <w:rPr>
          <w:sz w:val="28"/>
          <w:szCs w:val="28"/>
        </w:rPr>
        <w:t xml:space="preserve">iscount </w:t>
      </w:r>
      <w:r w:rsidR="3E994849" w:rsidRPr="1A6DFC8B">
        <w:rPr>
          <w:sz w:val="28"/>
          <w:szCs w:val="28"/>
        </w:rPr>
        <w:t xml:space="preserve">model </w:t>
      </w:r>
      <w:r w:rsidR="0DE702B4" w:rsidRPr="1A6DFC8B">
        <w:rPr>
          <w:sz w:val="28"/>
          <w:szCs w:val="28"/>
        </w:rPr>
        <w:t xml:space="preserve">was ruled out in favour of </w:t>
      </w:r>
      <w:r w:rsidR="241141B4" w:rsidRPr="1A6DFC8B">
        <w:rPr>
          <w:sz w:val="28"/>
          <w:szCs w:val="28"/>
        </w:rPr>
        <w:t xml:space="preserve">a </w:t>
      </w:r>
      <w:r w:rsidR="0C56AE28" w:rsidRPr="1A6DFC8B">
        <w:rPr>
          <w:sz w:val="28"/>
          <w:szCs w:val="28"/>
        </w:rPr>
        <w:t>payment</w:t>
      </w:r>
      <w:r w:rsidR="241141B4" w:rsidRPr="1A6DFC8B">
        <w:rPr>
          <w:sz w:val="28"/>
          <w:szCs w:val="28"/>
        </w:rPr>
        <w:t xml:space="preserve"> based model </w:t>
      </w:r>
      <w:r w:rsidR="0DE702B4" w:rsidRPr="1A6DFC8B">
        <w:rPr>
          <w:sz w:val="28"/>
          <w:szCs w:val="28"/>
        </w:rPr>
        <w:t xml:space="preserve">due to value for money and compatibility with a competitive, dynamic and evolving market. </w:t>
      </w:r>
      <w:r w:rsidR="303D14CA" w:rsidRPr="1A6DFC8B">
        <w:rPr>
          <w:sz w:val="28"/>
          <w:szCs w:val="28"/>
        </w:rPr>
        <w:t>A formula-based income-linked unit rate discount was not modelled as the</w:t>
      </w:r>
      <w:r w:rsidR="6A56EE2A" w:rsidRPr="1A6DFC8B">
        <w:rPr>
          <w:sz w:val="28"/>
          <w:szCs w:val="28"/>
        </w:rPr>
        <w:t xml:space="preserve"> unit rate approach was ruled out ahead of this stage of the analysis.</w:t>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r w:rsidR="29468D37">
        <w:br/>
      </w:r>
    </w:p>
    <w:p w14:paraId="4B47FC0B" w14:textId="77777777" w:rsidR="0056361C" w:rsidRDefault="0056361C" w:rsidP="1A6DFC8B">
      <w:pPr>
        <w:spacing w:after="0" w:line="276" w:lineRule="auto"/>
        <w:rPr>
          <w:b/>
          <w:bCs/>
          <w:sz w:val="28"/>
          <w:szCs w:val="28"/>
        </w:rPr>
      </w:pPr>
    </w:p>
    <w:p w14:paraId="5A57A85D" w14:textId="77777777" w:rsidR="0056361C" w:rsidRDefault="0056361C" w:rsidP="1A6DFC8B">
      <w:pPr>
        <w:spacing w:after="0" w:line="276" w:lineRule="auto"/>
        <w:rPr>
          <w:b/>
          <w:bCs/>
          <w:sz w:val="28"/>
          <w:szCs w:val="28"/>
        </w:rPr>
      </w:pPr>
    </w:p>
    <w:p w14:paraId="6B293D73" w14:textId="77777777" w:rsidR="0056361C" w:rsidRDefault="0056361C" w:rsidP="1A6DFC8B">
      <w:pPr>
        <w:spacing w:after="0" w:line="276" w:lineRule="auto"/>
        <w:rPr>
          <w:b/>
          <w:bCs/>
          <w:sz w:val="28"/>
          <w:szCs w:val="28"/>
        </w:rPr>
      </w:pPr>
    </w:p>
    <w:p w14:paraId="098ACC3F" w14:textId="77777777" w:rsidR="0056361C" w:rsidRDefault="0056361C" w:rsidP="1A6DFC8B">
      <w:pPr>
        <w:spacing w:after="0" w:line="276" w:lineRule="auto"/>
        <w:rPr>
          <w:b/>
          <w:bCs/>
          <w:sz w:val="28"/>
          <w:szCs w:val="28"/>
        </w:rPr>
      </w:pPr>
    </w:p>
    <w:p w14:paraId="7DE98D6F" w14:textId="31CD6F00" w:rsidR="001A5E58" w:rsidRDefault="1C7F84C9" w:rsidP="1A6DFC8B">
      <w:pPr>
        <w:spacing w:after="0" w:line="276" w:lineRule="auto"/>
        <w:rPr>
          <w:b/>
          <w:bCs/>
          <w:sz w:val="28"/>
          <w:szCs w:val="28"/>
        </w:rPr>
      </w:pPr>
      <w:r w:rsidRPr="1A6DFC8B">
        <w:rPr>
          <w:b/>
          <w:bCs/>
          <w:sz w:val="28"/>
          <w:szCs w:val="28"/>
        </w:rPr>
        <w:lastRenderedPageBreak/>
        <w:t xml:space="preserve">Table </w:t>
      </w:r>
      <w:r w:rsidR="31E7C801" w:rsidRPr="1A6DFC8B">
        <w:rPr>
          <w:b/>
          <w:bCs/>
          <w:sz w:val="28"/>
          <w:szCs w:val="28"/>
        </w:rPr>
        <w:t>5</w:t>
      </w:r>
      <w:r w:rsidRPr="1A6DFC8B">
        <w:rPr>
          <w:b/>
          <w:bCs/>
          <w:sz w:val="28"/>
          <w:szCs w:val="28"/>
        </w:rPr>
        <w:t>: Policy costs and benefits of a 30% Unit Rate Discount.</w:t>
      </w:r>
    </w:p>
    <w:tbl>
      <w:tblPr>
        <w:tblStyle w:val="TableGrid"/>
        <w:tblW w:w="0" w:type="auto"/>
        <w:tblLayout w:type="fixed"/>
        <w:tblLook w:val="06A0" w:firstRow="1" w:lastRow="0" w:firstColumn="1" w:lastColumn="0" w:noHBand="1" w:noVBand="1"/>
      </w:tblPr>
      <w:tblGrid>
        <w:gridCol w:w="1425"/>
        <w:gridCol w:w="1095"/>
        <w:gridCol w:w="1185"/>
        <w:gridCol w:w="1395"/>
        <w:gridCol w:w="1395"/>
        <w:gridCol w:w="1395"/>
        <w:gridCol w:w="1395"/>
      </w:tblGrid>
      <w:tr w:rsidR="1A6DFC8B" w14:paraId="7756CE3B" w14:textId="77777777" w:rsidTr="1A6DFC8B">
        <w:trPr>
          <w:trHeight w:val="315"/>
        </w:trPr>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9900"/>
            <w:tcMar>
              <w:top w:w="30" w:type="dxa"/>
              <w:left w:w="45" w:type="dxa"/>
              <w:bottom w:w="30" w:type="dxa"/>
              <w:right w:w="45" w:type="dxa"/>
            </w:tcMar>
          </w:tcPr>
          <w:p w14:paraId="77EFDCE0" w14:textId="63A0E3C5" w:rsidR="1A6DFC8B" w:rsidRDefault="1A6DFC8B" w:rsidP="1A6DFC8B">
            <w:pPr>
              <w:rPr>
                <w:sz w:val="20"/>
                <w:szCs w:val="20"/>
              </w:rPr>
            </w:pPr>
          </w:p>
        </w:tc>
        <w:tc>
          <w:tcPr>
            <w:tcW w:w="2280" w:type="dxa"/>
            <w:gridSpan w:val="2"/>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6FD058F2" w14:textId="3A4DD50E" w:rsidR="1A6DFC8B" w:rsidRPr="0024436B" w:rsidRDefault="1A6DFC8B" w:rsidP="1A6DFC8B">
            <w:pPr>
              <w:jc w:val="center"/>
              <w:rPr>
                <w:sz w:val="20"/>
                <w:szCs w:val="20"/>
              </w:rPr>
            </w:pPr>
            <w:r w:rsidRPr="0024436B">
              <w:rPr>
                <w:sz w:val="20"/>
                <w:szCs w:val="20"/>
              </w:rPr>
              <w:t>Warm Homes Discount eligibility</w:t>
            </w:r>
          </w:p>
        </w:tc>
        <w:tc>
          <w:tcPr>
            <w:tcW w:w="2790" w:type="dxa"/>
            <w:gridSpan w:val="2"/>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52BDDC53" w14:textId="6A0B89AF" w:rsidR="1A6DFC8B" w:rsidRPr="0024436B" w:rsidRDefault="1A6DFC8B" w:rsidP="1A6DFC8B">
            <w:pPr>
              <w:jc w:val="center"/>
              <w:rPr>
                <w:sz w:val="20"/>
                <w:szCs w:val="20"/>
              </w:rPr>
            </w:pPr>
            <w:r w:rsidRPr="0024436B">
              <w:rPr>
                <w:sz w:val="20"/>
                <w:szCs w:val="20"/>
              </w:rPr>
              <w:t>Warm Home Discount eligibility + PIP, DLA, AA &amp; CA eligibility</w:t>
            </w:r>
          </w:p>
        </w:tc>
        <w:tc>
          <w:tcPr>
            <w:tcW w:w="2790" w:type="dxa"/>
            <w:gridSpan w:val="2"/>
            <w:tcBorders>
              <w:top w:val="single" w:sz="6" w:space="0" w:color="000000" w:themeColor="text1"/>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7C172D4E" w14:textId="61B0E41C" w:rsidR="1A6DFC8B" w:rsidRPr="0024436B" w:rsidRDefault="1A6DFC8B" w:rsidP="1A6DFC8B">
            <w:pPr>
              <w:jc w:val="center"/>
              <w:rPr>
                <w:sz w:val="20"/>
                <w:szCs w:val="20"/>
              </w:rPr>
            </w:pPr>
            <w:r w:rsidRPr="0024436B">
              <w:rPr>
                <w:sz w:val="20"/>
                <w:szCs w:val="20"/>
              </w:rPr>
              <w:t>Warm Home Discount eligibility + disa</w:t>
            </w:r>
            <w:r w:rsidR="039C418E" w:rsidRPr="0024436B">
              <w:rPr>
                <w:sz w:val="20"/>
                <w:szCs w:val="20"/>
              </w:rPr>
              <w:t>bility</w:t>
            </w:r>
          </w:p>
        </w:tc>
      </w:tr>
      <w:tr w:rsidR="1A6DFC8B" w14:paraId="7159D327"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FF9900"/>
            <w:tcMar>
              <w:top w:w="30" w:type="dxa"/>
              <w:left w:w="45" w:type="dxa"/>
              <w:bottom w:w="30" w:type="dxa"/>
              <w:right w:w="45" w:type="dxa"/>
            </w:tcMar>
          </w:tcPr>
          <w:p w14:paraId="1F421991" w14:textId="50BBF447" w:rsidR="1A6DFC8B" w:rsidRDefault="1A6DFC8B" w:rsidP="1A6DFC8B">
            <w:pPr>
              <w:rPr>
                <w:sz w:val="20"/>
                <w:szCs w:val="20"/>
              </w:rPr>
            </w:pP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069AF366" w14:textId="3EC060CE" w:rsidR="1A6DFC8B" w:rsidRPr="0024436B" w:rsidRDefault="1A6DFC8B" w:rsidP="1A6DFC8B">
            <w:pPr>
              <w:jc w:val="center"/>
              <w:rPr>
                <w:sz w:val="20"/>
                <w:szCs w:val="20"/>
              </w:rPr>
            </w:pPr>
            <w:r w:rsidRPr="0024436B">
              <w:rPr>
                <w:sz w:val="20"/>
                <w:szCs w:val="20"/>
              </w:rPr>
              <w:t>Including Standing Charge</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02E2AD1C" w14:textId="2A9EBD1E" w:rsidR="1A6DFC8B" w:rsidRPr="0024436B" w:rsidRDefault="1A6DFC8B" w:rsidP="1A6DFC8B">
            <w:pPr>
              <w:jc w:val="center"/>
              <w:rPr>
                <w:sz w:val="20"/>
                <w:szCs w:val="20"/>
              </w:rPr>
            </w:pPr>
            <w:r w:rsidRPr="0024436B">
              <w:rPr>
                <w:sz w:val="20"/>
                <w:szCs w:val="20"/>
              </w:rPr>
              <w:t>Excluding Standing Charge</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476A8AEE" w14:textId="49B0C6A5" w:rsidR="1A6DFC8B" w:rsidRPr="0024436B" w:rsidRDefault="1A6DFC8B" w:rsidP="1A6DFC8B">
            <w:pPr>
              <w:jc w:val="center"/>
              <w:rPr>
                <w:sz w:val="20"/>
                <w:szCs w:val="20"/>
              </w:rPr>
            </w:pPr>
            <w:r w:rsidRPr="0024436B">
              <w:rPr>
                <w:sz w:val="20"/>
                <w:szCs w:val="20"/>
              </w:rPr>
              <w:t>Including Standing Charge</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477F83D1" w14:textId="64C9860E" w:rsidR="1A6DFC8B" w:rsidRPr="0024436B" w:rsidRDefault="1A6DFC8B" w:rsidP="1A6DFC8B">
            <w:pPr>
              <w:jc w:val="center"/>
              <w:rPr>
                <w:sz w:val="20"/>
                <w:szCs w:val="20"/>
              </w:rPr>
            </w:pPr>
            <w:r w:rsidRPr="0024436B">
              <w:rPr>
                <w:sz w:val="20"/>
                <w:szCs w:val="20"/>
              </w:rPr>
              <w:t>Excluding Standing Charge</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7A7BCAE6" w14:textId="3FF89172" w:rsidR="1A6DFC8B" w:rsidRPr="0024436B" w:rsidRDefault="1A6DFC8B" w:rsidP="1A6DFC8B">
            <w:pPr>
              <w:jc w:val="center"/>
              <w:rPr>
                <w:sz w:val="20"/>
                <w:szCs w:val="20"/>
              </w:rPr>
            </w:pPr>
            <w:r w:rsidRPr="0024436B">
              <w:rPr>
                <w:sz w:val="20"/>
                <w:szCs w:val="20"/>
              </w:rPr>
              <w:t>Including Standing Charge</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9900"/>
            <w:tcMar>
              <w:top w:w="30" w:type="dxa"/>
              <w:left w:w="45" w:type="dxa"/>
              <w:bottom w:w="30" w:type="dxa"/>
              <w:right w:w="45" w:type="dxa"/>
            </w:tcMar>
            <w:vAlign w:val="bottom"/>
          </w:tcPr>
          <w:p w14:paraId="0DB1C6CA" w14:textId="3BE08005" w:rsidR="1A6DFC8B" w:rsidRPr="0024436B" w:rsidRDefault="1A6DFC8B" w:rsidP="1A6DFC8B">
            <w:pPr>
              <w:jc w:val="center"/>
              <w:rPr>
                <w:sz w:val="20"/>
                <w:szCs w:val="20"/>
              </w:rPr>
            </w:pPr>
            <w:r w:rsidRPr="0024436B">
              <w:rPr>
                <w:sz w:val="20"/>
                <w:szCs w:val="20"/>
              </w:rPr>
              <w:t>Excluding Standing Charge</w:t>
            </w:r>
          </w:p>
        </w:tc>
      </w:tr>
      <w:tr w:rsidR="1A6DFC8B" w14:paraId="5D097B4A"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188EEC83" w14:textId="6E3E5AC6" w:rsidR="1A6DFC8B" w:rsidRDefault="1A6DFC8B" w:rsidP="1A6DFC8B">
            <w:pPr>
              <w:rPr>
                <w:sz w:val="20"/>
                <w:szCs w:val="20"/>
              </w:rPr>
            </w:pPr>
            <w:r w:rsidRPr="1A6DFC8B">
              <w:rPr>
                <w:sz w:val="20"/>
                <w:szCs w:val="20"/>
              </w:rPr>
              <w:t>Policy cost</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6CFDBE7" w14:textId="3AF7BEF5" w:rsidR="1A6DFC8B" w:rsidRDefault="1A6DFC8B" w:rsidP="1A6DFC8B">
            <w:pPr>
              <w:jc w:val="center"/>
              <w:rPr>
                <w:sz w:val="20"/>
                <w:szCs w:val="20"/>
              </w:rPr>
            </w:pPr>
            <w:r w:rsidRPr="1A6DFC8B">
              <w:rPr>
                <w:sz w:val="20"/>
                <w:szCs w:val="20"/>
              </w:rPr>
              <w:t>£2.4</w:t>
            </w:r>
            <w:r w:rsidR="1F65669F" w:rsidRPr="1A6DFC8B">
              <w:rPr>
                <w:sz w:val="20"/>
                <w:szCs w:val="20"/>
              </w:rPr>
              <w:t>bn</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1C9F4359" w14:textId="50B2D3E1" w:rsidR="1A6DFC8B" w:rsidRDefault="1A6DFC8B" w:rsidP="1A6DFC8B">
            <w:pPr>
              <w:jc w:val="center"/>
              <w:rPr>
                <w:sz w:val="20"/>
                <w:szCs w:val="20"/>
              </w:rPr>
            </w:pPr>
            <w:r w:rsidRPr="1A6DFC8B">
              <w:rPr>
                <w:sz w:val="20"/>
                <w:szCs w:val="20"/>
              </w:rPr>
              <w:t>£</w:t>
            </w:r>
            <w:r w:rsidR="48712EA2" w:rsidRPr="1A6DFC8B">
              <w:rPr>
                <w:sz w:val="20"/>
                <w:szCs w:val="20"/>
              </w:rPr>
              <w:t>2.0bn</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C2E283E" w14:textId="00046545" w:rsidR="1A6DFC8B" w:rsidRDefault="1A6DFC8B" w:rsidP="1A6DFC8B">
            <w:pPr>
              <w:jc w:val="center"/>
              <w:rPr>
                <w:sz w:val="20"/>
                <w:szCs w:val="20"/>
              </w:rPr>
            </w:pPr>
            <w:r w:rsidRPr="1A6DFC8B">
              <w:rPr>
                <w:sz w:val="20"/>
                <w:szCs w:val="20"/>
              </w:rPr>
              <w:t>£2.4</w:t>
            </w:r>
            <w:r w:rsidR="45EBB9DC" w:rsidRPr="1A6DFC8B">
              <w:rPr>
                <w:sz w:val="20"/>
                <w:szCs w:val="20"/>
              </w:rPr>
              <w:t>bn</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7A25AEB8" w14:textId="473D2DC2" w:rsidR="1A6DFC8B" w:rsidRDefault="1A6DFC8B" w:rsidP="1A6DFC8B">
            <w:pPr>
              <w:jc w:val="center"/>
              <w:rPr>
                <w:sz w:val="20"/>
                <w:szCs w:val="20"/>
              </w:rPr>
            </w:pPr>
            <w:r w:rsidRPr="1A6DFC8B">
              <w:rPr>
                <w:sz w:val="20"/>
                <w:szCs w:val="20"/>
              </w:rPr>
              <w:t>£</w:t>
            </w:r>
            <w:r w:rsidR="37F25ECD" w:rsidRPr="1A6DFC8B">
              <w:rPr>
                <w:sz w:val="20"/>
                <w:szCs w:val="20"/>
              </w:rPr>
              <w:t>2.0bn</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59D1B165" w14:textId="6A015857" w:rsidR="1A6DFC8B" w:rsidRDefault="1A6DFC8B" w:rsidP="1A6DFC8B">
            <w:pPr>
              <w:jc w:val="center"/>
              <w:rPr>
                <w:sz w:val="20"/>
                <w:szCs w:val="20"/>
              </w:rPr>
            </w:pPr>
            <w:r w:rsidRPr="1A6DFC8B">
              <w:rPr>
                <w:sz w:val="20"/>
                <w:szCs w:val="20"/>
              </w:rPr>
              <w:t>£6.</w:t>
            </w:r>
            <w:r w:rsidR="63FA1C34" w:rsidRPr="1A6DFC8B">
              <w:rPr>
                <w:sz w:val="20"/>
                <w:szCs w:val="20"/>
              </w:rPr>
              <w:t>6bn</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EA59E"/>
            <w:tcMar>
              <w:top w:w="30" w:type="dxa"/>
              <w:left w:w="45" w:type="dxa"/>
              <w:bottom w:w="30" w:type="dxa"/>
              <w:right w:w="45" w:type="dxa"/>
            </w:tcMar>
            <w:vAlign w:val="bottom"/>
          </w:tcPr>
          <w:p w14:paraId="65AE3686" w14:textId="131B8CD3" w:rsidR="1A6DFC8B" w:rsidRDefault="1A6DFC8B" w:rsidP="1A6DFC8B">
            <w:pPr>
              <w:jc w:val="center"/>
              <w:rPr>
                <w:sz w:val="20"/>
                <w:szCs w:val="20"/>
              </w:rPr>
            </w:pPr>
            <w:r w:rsidRPr="1A6DFC8B">
              <w:rPr>
                <w:sz w:val="20"/>
                <w:szCs w:val="20"/>
              </w:rPr>
              <w:t>£5.3</w:t>
            </w:r>
            <w:r w:rsidR="1E9B6241" w:rsidRPr="1A6DFC8B">
              <w:rPr>
                <w:sz w:val="20"/>
                <w:szCs w:val="20"/>
              </w:rPr>
              <w:t>bn</w:t>
            </w:r>
          </w:p>
        </w:tc>
      </w:tr>
      <w:tr w:rsidR="1A6DFC8B" w14:paraId="688AAF70"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1BD0E3CC" w14:textId="513D4668" w:rsidR="1A6DFC8B" w:rsidRDefault="1A6DFC8B" w:rsidP="1A6DFC8B">
            <w:pPr>
              <w:rPr>
                <w:sz w:val="20"/>
                <w:szCs w:val="20"/>
              </w:rPr>
            </w:pPr>
            <w:r w:rsidRPr="1A6DFC8B">
              <w:rPr>
                <w:sz w:val="20"/>
                <w:szCs w:val="20"/>
              </w:rPr>
              <w:t>Policy winners</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3A01B376" w14:textId="427F26E0" w:rsidR="1A6DFC8B" w:rsidRDefault="1A6DFC8B" w:rsidP="1A6DFC8B">
            <w:pPr>
              <w:jc w:val="center"/>
              <w:rPr>
                <w:sz w:val="20"/>
                <w:szCs w:val="20"/>
              </w:rPr>
            </w:pPr>
            <w:r w:rsidRPr="1A6DFC8B">
              <w:rPr>
                <w:sz w:val="20"/>
                <w:szCs w:val="20"/>
              </w:rPr>
              <w:t>4.9</w:t>
            </w:r>
            <w:r w:rsidR="669223AD" w:rsidRPr="1A6DFC8B">
              <w:rPr>
                <w:sz w:val="20"/>
                <w:szCs w:val="20"/>
              </w:rPr>
              <w:t>m</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7B6490E1" w14:textId="32039F14" w:rsidR="1A6DFC8B" w:rsidRDefault="1A6DFC8B" w:rsidP="1A6DFC8B">
            <w:pPr>
              <w:jc w:val="center"/>
              <w:rPr>
                <w:sz w:val="20"/>
                <w:szCs w:val="20"/>
              </w:rPr>
            </w:pPr>
            <w:r w:rsidRPr="1A6DFC8B">
              <w:rPr>
                <w:sz w:val="20"/>
                <w:szCs w:val="20"/>
              </w:rPr>
              <w:t>4.6</w:t>
            </w:r>
            <w:r w:rsidR="7DC84754"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3460AFAF" w14:textId="1F27D5BE" w:rsidR="1A6DFC8B" w:rsidRDefault="1A6DFC8B" w:rsidP="1A6DFC8B">
            <w:pPr>
              <w:jc w:val="center"/>
              <w:rPr>
                <w:sz w:val="20"/>
                <w:szCs w:val="20"/>
              </w:rPr>
            </w:pPr>
            <w:r w:rsidRPr="1A6DFC8B">
              <w:rPr>
                <w:sz w:val="20"/>
                <w:szCs w:val="20"/>
              </w:rPr>
              <w:t>4.9</w:t>
            </w:r>
            <w:r w:rsidR="35FA7DA7"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50D5C442" w14:textId="13565F40" w:rsidR="1A6DFC8B" w:rsidRDefault="1A6DFC8B" w:rsidP="1A6DFC8B">
            <w:pPr>
              <w:jc w:val="center"/>
              <w:rPr>
                <w:sz w:val="20"/>
                <w:szCs w:val="20"/>
              </w:rPr>
            </w:pPr>
            <w:r w:rsidRPr="1A6DFC8B">
              <w:rPr>
                <w:sz w:val="20"/>
                <w:szCs w:val="20"/>
              </w:rPr>
              <w:t>4.6</w:t>
            </w:r>
            <w:r w:rsidR="2F4A3ABC"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E04D140" w14:textId="51244FC0" w:rsidR="1A6DFC8B" w:rsidRDefault="1A6DFC8B" w:rsidP="1A6DFC8B">
            <w:pPr>
              <w:jc w:val="center"/>
              <w:rPr>
                <w:sz w:val="20"/>
                <w:szCs w:val="20"/>
              </w:rPr>
            </w:pPr>
            <w:r w:rsidRPr="1A6DFC8B">
              <w:rPr>
                <w:sz w:val="20"/>
                <w:szCs w:val="20"/>
              </w:rPr>
              <w:t>11.36</w:t>
            </w:r>
            <w:r w:rsidR="72376891"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B958E"/>
            <w:tcMar>
              <w:top w:w="30" w:type="dxa"/>
              <w:left w:w="45" w:type="dxa"/>
              <w:bottom w:w="30" w:type="dxa"/>
              <w:right w:w="45" w:type="dxa"/>
            </w:tcMar>
            <w:vAlign w:val="bottom"/>
          </w:tcPr>
          <w:p w14:paraId="21C5604E" w14:textId="7896CFDB" w:rsidR="1A6DFC8B" w:rsidRDefault="1A6DFC8B" w:rsidP="1A6DFC8B">
            <w:pPr>
              <w:jc w:val="center"/>
              <w:rPr>
                <w:sz w:val="20"/>
                <w:szCs w:val="20"/>
              </w:rPr>
            </w:pPr>
            <w:r w:rsidRPr="1A6DFC8B">
              <w:rPr>
                <w:sz w:val="20"/>
                <w:szCs w:val="20"/>
              </w:rPr>
              <w:t>10.13</w:t>
            </w:r>
            <w:r w:rsidR="36D8CB36" w:rsidRPr="1A6DFC8B">
              <w:rPr>
                <w:sz w:val="20"/>
                <w:szCs w:val="20"/>
              </w:rPr>
              <w:t>m</w:t>
            </w:r>
          </w:p>
        </w:tc>
      </w:tr>
      <w:tr w:rsidR="1A6DFC8B" w14:paraId="1A085A8B"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254A147" w14:textId="23E14CCA" w:rsidR="1A6DFC8B" w:rsidRDefault="1A6DFC8B" w:rsidP="1A6DFC8B">
            <w:pPr>
              <w:rPr>
                <w:sz w:val="20"/>
                <w:szCs w:val="20"/>
              </w:rPr>
            </w:pPr>
            <w:r w:rsidRPr="1A6DFC8B">
              <w:rPr>
                <w:sz w:val="20"/>
                <w:szCs w:val="20"/>
              </w:rPr>
              <w:t>Policy losers</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662C9C45" w14:textId="1C04C23E" w:rsidR="1A6DFC8B" w:rsidRDefault="1A6DFC8B" w:rsidP="1A6DFC8B">
            <w:pPr>
              <w:jc w:val="center"/>
              <w:rPr>
                <w:sz w:val="20"/>
                <w:szCs w:val="20"/>
              </w:rPr>
            </w:pPr>
            <w:r w:rsidRPr="1A6DFC8B">
              <w:rPr>
                <w:sz w:val="20"/>
                <w:szCs w:val="20"/>
              </w:rPr>
              <w:t>23.6</w:t>
            </w:r>
            <w:r w:rsidR="34505C5B" w:rsidRPr="1A6DFC8B">
              <w:rPr>
                <w:sz w:val="20"/>
                <w:szCs w:val="20"/>
              </w:rPr>
              <w:t>m</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2EEFF685" w14:textId="6F2ABB2D" w:rsidR="1A6DFC8B" w:rsidRDefault="1A6DFC8B" w:rsidP="1A6DFC8B">
            <w:pPr>
              <w:jc w:val="center"/>
              <w:rPr>
                <w:sz w:val="20"/>
                <w:szCs w:val="20"/>
              </w:rPr>
            </w:pPr>
            <w:r w:rsidRPr="1A6DFC8B">
              <w:rPr>
                <w:sz w:val="20"/>
                <w:szCs w:val="20"/>
              </w:rPr>
              <w:t>24.0</w:t>
            </w:r>
            <w:r w:rsidR="0A627D7E"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757B3751" w14:textId="39828793" w:rsidR="1A6DFC8B" w:rsidRDefault="1A6DFC8B" w:rsidP="1A6DFC8B">
            <w:pPr>
              <w:jc w:val="center"/>
              <w:rPr>
                <w:sz w:val="20"/>
                <w:szCs w:val="20"/>
              </w:rPr>
            </w:pPr>
            <w:r w:rsidRPr="1A6DFC8B">
              <w:rPr>
                <w:sz w:val="20"/>
                <w:szCs w:val="20"/>
              </w:rPr>
              <w:t>23.6</w:t>
            </w:r>
            <w:r w:rsidR="45B02837"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6CF1D69A" w14:textId="5F91826C" w:rsidR="1A6DFC8B" w:rsidRDefault="1A6DFC8B" w:rsidP="1A6DFC8B">
            <w:pPr>
              <w:jc w:val="center"/>
              <w:rPr>
                <w:sz w:val="20"/>
                <w:szCs w:val="20"/>
              </w:rPr>
            </w:pPr>
            <w:r w:rsidRPr="1A6DFC8B">
              <w:rPr>
                <w:sz w:val="20"/>
                <w:szCs w:val="20"/>
              </w:rPr>
              <w:t>24.0</w:t>
            </w:r>
            <w:r w:rsidR="09FA6C4C"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0F335789" w14:textId="69130DAF" w:rsidR="1A6DFC8B" w:rsidRDefault="1A6DFC8B" w:rsidP="1A6DFC8B">
            <w:pPr>
              <w:jc w:val="center"/>
              <w:rPr>
                <w:sz w:val="20"/>
                <w:szCs w:val="20"/>
              </w:rPr>
            </w:pPr>
            <w:r w:rsidRPr="1A6DFC8B">
              <w:rPr>
                <w:sz w:val="20"/>
                <w:szCs w:val="20"/>
              </w:rPr>
              <w:t>17.18</w:t>
            </w:r>
            <w:r w:rsidR="7451F1B4"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77C7A0"/>
            <w:tcMar>
              <w:top w:w="30" w:type="dxa"/>
              <w:left w:w="45" w:type="dxa"/>
              <w:bottom w:w="30" w:type="dxa"/>
              <w:right w:w="45" w:type="dxa"/>
            </w:tcMar>
            <w:vAlign w:val="bottom"/>
          </w:tcPr>
          <w:p w14:paraId="10600531" w14:textId="31416807" w:rsidR="1A6DFC8B" w:rsidRDefault="1A6DFC8B" w:rsidP="1A6DFC8B">
            <w:pPr>
              <w:jc w:val="center"/>
              <w:rPr>
                <w:sz w:val="20"/>
                <w:szCs w:val="20"/>
              </w:rPr>
            </w:pPr>
            <w:r w:rsidRPr="1A6DFC8B">
              <w:rPr>
                <w:sz w:val="20"/>
                <w:szCs w:val="20"/>
              </w:rPr>
              <w:t>18.41</w:t>
            </w:r>
            <w:r w:rsidR="4A65EC95" w:rsidRPr="1A6DFC8B">
              <w:rPr>
                <w:sz w:val="20"/>
                <w:szCs w:val="20"/>
              </w:rPr>
              <w:t>m</w:t>
            </w:r>
          </w:p>
        </w:tc>
      </w:tr>
      <w:tr w:rsidR="1A6DFC8B" w14:paraId="3998FD9C"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D68AE34" w14:textId="0472E652" w:rsidR="1A6DFC8B" w:rsidRDefault="1A6DFC8B" w:rsidP="1A6DFC8B">
            <w:pPr>
              <w:rPr>
                <w:sz w:val="20"/>
                <w:szCs w:val="20"/>
              </w:rPr>
            </w:pPr>
            <w:r w:rsidRPr="1A6DFC8B">
              <w:rPr>
                <w:sz w:val="20"/>
                <w:szCs w:val="20"/>
              </w:rPr>
              <w:t>Average change in annual bills (winners)</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294E1E38" w14:textId="0F4A3020" w:rsidR="1A6DFC8B" w:rsidRDefault="1A6DFC8B" w:rsidP="1A6DFC8B">
            <w:pPr>
              <w:jc w:val="center"/>
              <w:rPr>
                <w:sz w:val="20"/>
                <w:szCs w:val="20"/>
              </w:rPr>
            </w:pPr>
            <w:r w:rsidRPr="1A6DFC8B">
              <w:rPr>
                <w:sz w:val="20"/>
                <w:szCs w:val="20"/>
              </w:rPr>
              <w:t>-£408</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1FD524AB" w14:textId="69F1557A" w:rsidR="1A6DFC8B" w:rsidRDefault="1A6DFC8B" w:rsidP="1A6DFC8B">
            <w:pPr>
              <w:jc w:val="center"/>
              <w:rPr>
                <w:sz w:val="20"/>
                <w:szCs w:val="20"/>
              </w:rPr>
            </w:pPr>
            <w:r w:rsidRPr="1A6DFC8B">
              <w:rPr>
                <w:sz w:val="20"/>
                <w:szCs w:val="20"/>
              </w:rPr>
              <w:t>-£354</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5F0DBD3C" w14:textId="3A8D658A" w:rsidR="1A6DFC8B" w:rsidRDefault="1A6DFC8B" w:rsidP="1A6DFC8B">
            <w:pPr>
              <w:jc w:val="center"/>
              <w:rPr>
                <w:sz w:val="20"/>
                <w:szCs w:val="20"/>
              </w:rPr>
            </w:pPr>
            <w:r w:rsidRPr="1A6DFC8B">
              <w:rPr>
                <w:sz w:val="20"/>
                <w:szCs w:val="20"/>
              </w:rPr>
              <w:t>-£408</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5CEB5B74" w14:textId="3C47D94A" w:rsidR="1A6DFC8B" w:rsidRDefault="1A6DFC8B" w:rsidP="1A6DFC8B">
            <w:pPr>
              <w:jc w:val="center"/>
              <w:rPr>
                <w:sz w:val="20"/>
                <w:szCs w:val="20"/>
              </w:rPr>
            </w:pPr>
            <w:r w:rsidRPr="1A6DFC8B">
              <w:rPr>
                <w:sz w:val="20"/>
                <w:szCs w:val="20"/>
              </w:rPr>
              <w:t>-£354</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EA49E"/>
            <w:tcMar>
              <w:top w:w="30" w:type="dxa"/>
              <w:left w:w="45" w:type="dxa"/>
              <w:bottom w:w="30" w:type="dxa"/>
              <w:right w:w="45" w:type="dxa"/>
            </w:tcMar>
            <w:vAlign w:val="bottom"/>
          </w:tcPr>
          <w:p w14:paraId="44C7C4CA" w14:textId="40D31012" w:rsidR="1A6DFC8B" w:rsidRDefault="1A6DFC8B" w:rsidP="1A6DFC8B">
            <w:pPr>
              <w:jc w:val="center"/>
              <w:rPr>
                <w:sz w:val="20"/>
                <w:szCs w:val="20"/>
              </w:rPr>
            </w:pPr>
            <w:r w:rsidRPr="1A6DFC8B">
              <w:rPr>
                <w:sz w:val="20"/>
                <w:szCs w:val="20"/>
              </w:rPr>
              <w:t>-£320</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058F53C" w14:textId="7DEB72CE" w:rsidR="1A6DFC8B" w:rsidRDefault="1A6DFC8B" w:rsidP="1A6DFC8B">
            <w:pPr>
              <w:jc w:val="center"/>
              <w:rPr>
                <w:sz w:val="20"/>
                <w:szCs w:val="20"/>
              </w:rPr>
            </w:pPr>
            <w:r w:rsidRPr="1A6DFC8B">
              <w:rPr>
                <w:sz w:val="20"/>
                <w:szCs w:val="20"/>
              </w:rPr>
              <w:t>-£304</w:t>
            </w:r>
          </w:p>
        </w:tc>
      </w:tr>
      <w:tr w:rsidR="1A6DFC8B" w14:paraId="37EF7E7B"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327EC799" w14:textId="069DDB28" w:rsidR="1A6DFC8B" w:rsidRDefault="1A6DFC8B" w:rsidP="1A6DFC8B">
            <w:pPr>
              <w:rPr>
                <w:sz w:val="20"/>
                <w:szCs w:val="20"/>
              </w:rPr>
            </w:pPr>
            <w:r w:rsidRPr="1A6DFC8B">
              <w:rPr>
                <w:sz w:val="20"/>
                <w:szCs w:val="20"/>
              </w:rPr>
              <w:t>Average change in annual bills if bill-funded (losers)</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36CB7790" w14:textId="5BB571E9" w:rsidR="1A6DFC8B" w:rsidRDefault="1A6DFC8B" w:rsidP="1A6DFC8B">
            <w:pPr>
              <w:jc w:val="center"/>
              <w:rPr>
                <w:sz w:val="20"/>
                <w:szCs w:val="20"/>
              </w:rPr>
            </w:pPr>
            <w:r w:rsidRPr="1A6DFC8B">
              <w:rPr>
                <w:sz w:val="20"/>
                <w:szCs w:val="20"/>
              </w:rPr>
              <w:t>£84</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67A23E3F" w14:textId="6161D06F" w:rsidR="1A6DFC8B" w:rsidRDefault="1A6DFC8B" w:rsidP="1A6DFC8B">
            <w:pPr>
              <w:jc w:val="center"/>
              <w:rPr>
                <w:sz w:val="20"/>
                <w:szCs w:val="20"/>
              </w:rPr>
            </w:pPr>
            <w:r w:rsidRPr="1A6DFC8B">
              <w:rPr>
                <w:sz w:val="20"/>
                <w:szCs w:val="20"/>
              </w:rPr>
              <w:t>£68</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6AAA0910" w14:textId="75DF4B9A" w:rsidR="1A6DFC8B" w:rsidRDefault="1A6DFC8B" w:rsidP="1A6DFC8B">
            <w:pPr>
              <w:jc w:val="center"/>
              <w:rPr>
                <w:sz w:val="20"/>
                <w:szCs w:val="20"/>
              </w:rPr>
            </w:pPr>
            <w:r w:rsidRPr="1A6DFC8B">
              <w:rPr>
                <w:sz w:val="20"/>
                <w:szCs w:val="20"/>
              </w:rPr>
              <w:t>£84</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0DEAC292" w14:textId="0E41C1A8" w:rsidR="1A6DFC8B" w:rsidRDefault="1A6DFC8B" w:rsidP="1A6DFC8B">
            <w:pPr>
              <w:jc w:val="center"/>
              <w:rPr>
                <w:sz w:val="20"/>
                <w:szCs w:val="20"/>
              </w:rPr>
            </w:pPr>
            <w:r w:rsidRPr="1A6DFC8B">
              <w:rPr>
                <w:sz w:val="20"/>
                <w:szCs w:val="20"/>
              </w:rPr>
              <w:t>£68</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04C31239" w14:textId="56535B5E" w:rsidR="1A6DFC8B" w:rsidRDefault="1A6DFC8B" w:rsidP="1A6DFC8B">
            <w:pPr>
              <w:jc w:val="center"/>
              <w:rPr>
                <w:sz w:val="20"/>
                <w:szCs w:val="20"/>
              </w:rPr>
            </w:pPr>
            <w:r w:rsidRPr="1A6DFC8B">
              <w:rPr>
                <w:sz w:val="20"/>
                <w:szCs w:val="20"/>
              </w:rPr>
              <w:t>£211</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FAAA4"/>
            <w:tcMar>
              <w:top w:w="30" w:type="dxa"/>
              <w:left w:w="45" w:type="dxa"/>
              <w:bottom w:w="30" w:type="dxa"/>
              <w:right w:w="45" w:type="dxa"/>
            </w:tcMar>
            <w:vAlign w:val="bottom"/>
          </w:tcPr>
          <w:p w14:paraId="067BC30A" w14:textId="78253884" w:rsidR="1A6DFC8B" w:rsidRDefault="1A6DFC8B" w:rsidP="1A6DFC8B">
            <w:pPr>
              <w:jc w:val="center"/>
              <w:rPr>
                <w:sz w:val="20"/>
                <w:szCs w:val="20"/>
              </w:rPr>
            </w:pPr>
            <w:r w:rsidRPr="1A6DFC8B">
              <w:rPr>
                <w:sz w:val="20"/>
                <w:szCs w:val="20"/>
              </w:rPr>
              <w:t>£167</w:t>
            </w:r>
          </w:p>
        </w:tc>
      </w:tr>
      <w:tr w:rsidR="1A6DFC8B" w14:paraId="7F5ED91D"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5328133B" w14:textId="69A2A030" w:rsidR="1A6DFC8B" w:rsidRDefault="1A6DFC8B" w:rsidP="1A6DFC8B">
            <w:pPr>
              <w:rPr>
                <w:sz w:val="20"/>
                <w:szCs w:val="20"/>
              </w:rPr>
            </w:pPr>
            <w:r w:rsidRPr="1A6DFC8B">
              <w:rPr>
                <w:sz w:val="20"/>
                <w:szCs w:val="20"/>
              </w:rPr>
              <w:t>Median change in annual bills (winners)</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41AD08CF" w14:textId="3B78529A" w:rsidR="1A6DFC8B" w:rsidRDefault="1A6DFC8B" w:rsidP="1A6DFC8B">
            <w:pPr>
              <w:jc w:val="center"/>
              <w:rPr>
                <w:sz w:val="20"/>
                <w:szCs w:val="20"/>
              </w:rPr>
            </w:pPr>
            <w:r w:rsidRPr="1A6DFC8B">
              <w:rPr>
                <w:sz w:val="20"/>
                <w:szCs w:val="20"/>
              </w:rPr>
              <w:t>-£326</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7F3F3D63" w14:textId="444B7121" w:rsidR="1A6DFC8B" w:rsidRDefault="1A6DFC8B" w:rsidP="1A6DFC8B">
            <w:pPr>
              <w:jc w:val="center"/>
              <w:rPr>
                <w:sz w:val="20"/>
                <w:szCs w:val="20"/>
              </w:rPr>
            </w:pPr>
            <w:r w:rsidRPr="1A6DFC8B">
              <w:rPr>
                <w:sz w:val="20"/>
                <w:szCs w:val="20"/>
              </w:rPr>
              <w:t>-£277</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3D46C2A6" w14:textId="7800520F" w:rsidR="1A6DFC8B" w:rsidRDefault="1A6DFC8B" w:rsidP="1A6DFC8B">
            <w:pPr>
              <w:jc w:val="center"/>
              <w:rPr>
                <w:sz w:val="20"/>
                <w:szCs w:val="20"/>
              </w:rPr>
            </w:pPr>
            <w:r w:rsidRPr="1A6DFC8B">
              <w:rPr>
                <w:sz w:val="20"/>
                <w:szCs w:val="20"/>
              </w:rPr>
              <w:t>-£326</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11CAE6A" w14:textId="163BDC90" w:rsidR="1A6DFC8B" w:rsidRDefault="1A6DFC8B" w:rsidP="1A6DFC8B">
            <w:pPr>
              <w:jc w:val="center"/>
              <w:rPr>
                <w:sz w:val="20"/>
                <w:szCs w:val="20"/>
              </w:rPr>
            </w:pPr>
            <w:r w:rsidRPr="1A6DFC8B">
              <w:rPr>
                <w:sz w:val="20"/>
                <w:szCs w:val="20"/>
              </w:rPr>
              <w:t>-£277</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EA49E"/>
            <w:tcMar>
              <w:top w:w="30" w:type="dxa"/>
              <w:left w:w="45" w:type="dxa"/>
              <w:bottom w:w="30" w:type="dxa"/>
              <w:right w:w="45" w:type="dxa"/>
            </w:tcMar>
            <w:vAlign w:val="bottom"/>
          </w:tcPr>
          <w:p w14:paraId="52A23054" w14:textId="318CC4FA" w:rsidR="1A6DFC8B" w:rsidRDefault="1A6DFC8B" w:rsidP="1A6DFC8B">
            <w:pPr>
              <w:jc w:val="center"/>
              <w:rPr>
                <w:sz w:val="20"/>
                <w:szCs w:val="20"/>
              </w:rPr>
            </w:pPr>
            <w:r w:rsidRPr="1A6DFC8B">
              <w:rPr>
                <w:sz w:val="20"/>
                <w:szCs w:val="20"/>
              </w:rPr>
              <w:t>-£239</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B7B0C0B" w14:textId="41D14E5E" w:rsidR="1A6DFC8B" w:rsidRDefault="1A6DFC8B" w:rsidP="1A6DFC8B">
            <w:pPr>
              <w:jc w:val="center"/>
              <w:rPr>
                <w:sz w:val="20"/>
                <w:szCs w:val="20"/>
              </w:rPr>
            </w:pPr>
            <w:r w:rsidRPr="1A6DFC8B">
              <w:rPr>
                <w:sz w:val="20"/>
                <w:szCs w:val="20"/>
              </w:rPr>
              <w:t>-£222</w:t>
            </w:r>
          </w:p>
        </w:tc>
      </w:tr>
      <w:tr w:rsidR="1A6DFC8B" w14:paraId="19573B08"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5EC1CF63" w14:textId="25FFC2F1" w:rsidR="1A6DFC8B" w:rsidRDefault="1A6DFC8B" w:rsidP="1A6DFC8B">
            <w:pPr>
              <w:rPr>
                <w:sz w:val="20"/>
                <w:szCs w:val="20"/>
              </w:rPr>
            </w:pPr>
            <w:r w:rsidRPr="1A6DFC8B">
              <w:rPr>
                <w:sz w:val="20"/>
                <w:szCs w:val="20"/>
              </w:rPr>
              <w:t>Median change in annual bills if bill-funded (losers)</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1F5830D0" w14:textId="798CC410" w:rsidR="1A6DFC8B" w:rsidRDefault="1A6DFC8B" w:rsidP="1A6DFC8B">
            <w:pPr>
              <w:jc w:val="center"/>
              <w:rPr>
                <w:sz w:val="20"/>
                <w:szCs w:val="20"/>
              </w:rPr>
            </w:pPr>
            <w:r w:rsidRPr="1A6DFC8B">
              <w:rPr>
                <w:sz w:val="20"/>
                <w:szCs w:val="20"/>
              </w:rPr>
              <w:t>£85</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2FB94D84" w14:textId="59DCB18D" w:rsidR="1A6DFC8B" w:rsidRDefault="1A6DFC8B" w:rsidP="1A6DFC8B">
            <w:pPr>
              <w:jc w:val="center"/>
              <w:rPr>
                <w:sz w:val="20"/>
                <w:szCs w:val="20"/>
              </w:rPr>
            </w:pPr>
            <w:r w:rsidRPr="1A6DFC8B">
              <w:rPr>
                <w:sz w:val="20"/>
                <w:szCs w:val="20"/>
              </w:rPr>
              <w:t>£68</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3D7BCEAD" w14:textId="0D6BCEFA" w:rsidR="1A6DFC8B" w:rsidRDefault="1A6DFC8B" w:rsidP="1A6DFC8B">
            <w:pPr>
              <w:jc w:val="center"/>
              <w:rPr>
                <w:sz w:val="20"/>
                <w:szCs w:val="20"/>
              </w:rPr>
            </w:pPr>
            <w:r w:rsidRPr="1A6DFC8B">
              <w:rPr>
                <w:sz w:val="20"/>
                <w:szCs w:val="20"/>
              </w:rPr>
              <w:t>£85</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4B8FC767" w14:textId="2043A7F6" w:rsidR="1A6DFC8B" w:rsidRDefault="1A6DFC8B" w:rsidP="1A6DFC8B">
            <w:pPr>
              <w:jc w:val="center"/>
              <w:rPr>
                <w:sz w:val="20"/>
                <w:szCs w:val="20"/>
              </w:rPr>
            </w:pPr>
            <w:r w:rsidRPr="1A6DFC8B">
              <w:rPr>
                <w:sz w:val="20"/>
                <w:szCs w:val="20"/>
              </w:rPr>
              <w:t>£68</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768C7002" w14:textId="524682D7" w:rsidR="1A6DFC8B" w:rsidRDefault="1A6DFC8B" w:rsidP="1A6DFC8B">
            <w:pPr>
              <w:jc w:val="center"/>
              <w:rPr>
                <w:sz w:val="20"/>
                <w:szCs w:val="20"/>
              </w:rPr>
            </w:pPr>
            <w:r w:rsidRPr="1A6DFC8B">
              <w:rPr>
                <w:sz w:val="20"/>
                <w:szCs w:val="20"/>
              </w:rPr>
              <w:t>£230</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EA59E"/>
            <w:tcMar>
              <w:top w:w="30" w:type="dxa"/>
              <w:left w:w="45" w:type="dxa"/>
              <w:bottom w:w="30" w:type="dxa"/>
              <w:right w:w="45" w:type="dxa"/>
            </w:tcMar>
            <w:vAlign w:val="bottom"/>
          </w:tcPr>
          <w:p w14:paraId="60E398F3" w14:textId="243B6C81" w:rsidR="1A6DFC8B" w:rsidRDefault="1A6DFC8B" w:rsidP="1A6DFC8B">
            <w:pPr>
              <w:jc w:val="center"/>
              <w:rPr>
                <w:sz w:val="20"/>
                <w:szCs w:val="20"/>
              </w:rPr>
            </w:pPr>
            <w:r w:rsidRPr="1A6DFC8B">
              <w:rPr>
                <w:sz w:val="20"/>
                <w:szCs w:val="20"/>
              </w:rPr>
              <w:t>£186</w:t>
            </w:r>
          </w:p>
        </w:tc>
      </w:tr>
      <w:tr w:rsidR="1A6DFC8B" w14:paraId="081BC085"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3D30C4FD" w14:textId="0A859AFF" w:rsidR="1A6DFC8B" w:rsidRDefault="1A6DFC8B" w:rsidP="1A6DFC8B">
            <w:pPr>
              <w:rPr>
                <w:sz w:val="20"/>
                <w:szCs w:val="20"/>
              </w:rPr>
            </w:pPr>
            <w:r w:rsidRPr="1A6DFC8B">
              <w:rPr>
                <w:sz w:val="20"/>
                <w:szCs w:val="20"/>
              </w:rPr>
              <w:t>Change in fuel poverty</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78311401" w14:textId="6A1AAA34" w:rsidR="1A6DFC8B" w:rsidRDefault="1A6DFC8B" w:rsidP="1A6DFC8B">
            <w:pPr>
              <w:jc w:val="center"/>
              <w:rPr>
                <w:sz w:val="20"/>
                <w:szCs w:val="20"/>
              </w:rPr>
            </w:pPr>
            <w:r w:rsidRPr="1A6DFC8B">
              <w:rPr>
                <w:sz w:val="20"/>
                <w:szCs w:val="20"/>
              </w:rPr>
              <w:t>-0.52</w:t>
            </w:r>
            <w:r w:rsidR="4594AA6C" w:rsidRPr="1A6DFC8B">
              <w:rPr>
                <w:sz w:val="20"/>
                <w:szCs w:val="20"/>
              </w:rPr>
              <w:t>m</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8310614" w14:textId="10F7ADC8" w:rsidR="1A6DFC8B" w:rsidRDefault="1A6DFC8B" w:rsidP="1A6DFC8B">
            <w:pPr>
              <w:jc w:val="center"/>
              <w:rPr>
                <w:sz w:val="20"/>
                <w:szCs w:val="20"/>
              </w:rPr>
            </w:pPr>
            <w:r w:rsidRPr="1A6DFC8B">
              <w:rPr>
                <w:sz w:val="20"/>
                <w:szCs w:val="20"/>
              </w:rPr>
              <w:t>-0.40</w:t>
            </w:r>
            <w:r w:rsidR="4594AA6C"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C1E1C00" w14:textId="4BA8FE4A" w:rsidR="1A6DFC8B" w:rsidRDefault="1A6DFC8B" w:rsidP="1A6DFC8B">
            <w:pPr>
              <w:jc w:val="center"/>
              <w:rPr>
                <w:sz w:val="20"/>
                <w:szCs w:val="20"/>
              </w:rPr>
            </w:pPr>
            <w:r w:rsidRPr="1A6DFC8B">
              <w:rPr>
                <w:sz w:val="20"/>
                <w:szCs w:val="20"/>
              </w:rPr>
              <w:t>-0.52</w:t>
            </w:r>
            <w:r w:rsidR="12E77772"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5AA788F9" w14:textId="5AEFE1D6" w:rsidR="1A6DFC8B" w:rsidRDefault="1A6DFC8B" w:rsidP="1A6DFC8B">
            <w:pPr>
              <w:jc w:val="center"/>
              <w:rPr>
                <w:sz w:val="20"/>
                <w:szCs w:val="20"/>
              </w:rPr>
            </w:pPr>
            <w:r w:rsidRPr="1A6DFC8B">
              <w:rPr>
                <w:sz w:val="20"/>
                <w:szCs w:val="20"/>
              </w:rPr>
              <w:t>-0.40</w:t>
            </w:r>
            <w:r w:rsidR="0BD6FF9F"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256793EC" w14:textId="1DA4BA46" w:rsidR="1A6DFC8B" w:rsidRDefault="1A6DFC8B" w:rsidP="1A6DFC8B">
            <w:pPr>
              <w:jc w:val="center"/>
              <w:rPr>
                <w:sz w:val="20"/>
                <w:szCs w:val="20"/>
              </w:rPr>
            </w:pPr>
            <w:r w:rsidRPr="1A6DFC8B">
              <w:rPr>
                <w:sz w:val="20"/>
                <w:szCs w:val="20"/>
              </w:rPr>
              <w:t>-0.96</w:t>
            </w:r>
            <w:r w:rsidR="2F6813A1"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A1D9BE"/>
            <w:tcMar>
              <w:top w:w="30" w:type="dxa"/>
              <w:left w:w="45" w:type="dxa"/>
              <w:bottom w:w="30" w:type="dxa"/>
              <w:right w:w="45" w:type="dxa"/>
            </w:tcMar>
            <w:vAlign w:val="bottom"/>
          </w:tcPr>
          <w:p w14:paraId="11E563CF" w14:textId="1D0375A5" w:rsidR="1A6DFC8B" w:rsidRDefault="1A6DFC8B" w:rsidP="1A6DFC8B">
            <w:pPr>
              <w:jc w:val="center"/>
              <w:rPr>
                <w:sz w:val="20"/>
                <w:szCs w:val="20"/>
              </w:rPr>
            </w:pPr>
            <w:r w:rsidRPr="1A6DFC8B">
              <w:rPr>
                <w:sz w:val="20"/>
                <w:szCs w:val="20"/>
              </w:rPr>
              <w:t>-0.76</w:t>
            </w:r>
            <w:r w:rsidR="33A67BA5" w:rsidRPr="1A6DFC8B">
              <w:rPr>
                <w:sz w:val="20"/>
                <w:szCs w:val="20"/>
              </w:rPr>
              <w:t>m</w:t>
            </w:r>
          </w:p>
        </w:tc>
      </w:tr>
      <w:tr w:rsidR="1A6DFC8B" w14:paraId="014382F9"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4A605B06" w14:textId="1E4BEB51" w:rsidR="1A6DFC8B" w:rsidRDefault="1A6DFC8B" w:rsidP="1A6DFC8B">
            <w:pPr>
              <w:rPr>
                <w:sz w:val="20"/>
                <w:szCs w:val="20"/>
              </w:rPr>
            </w:pPr>
            <w:r w:rsidRPr="1A6DFC8B">
              <w:rPr>
                <w:sz w:val="20"/>
                <w:szCs w:val="20"/>
              </w:rPr>
              <w:t>Change in fuel poverty for disabled households</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67CF26F8" w14:textId="667122DF" w:rsidR="1A6DFC8B" w:rsidRDefault="1A6DFC8B" w:rsidP="1A6DFC8B">
            <w:pPr>
              <w:jc w:val="center"/>
              <w:rPr>
                <w:sz w:val="20"/>
                <w:szCs w:val="20"/>
              </w:rPr>
            </w:pPr>
            <w:r w:rsidRPr="1A6DFC8B">
              <w:rPr>
                <w:sz w:val="20"/>
                <w:szCs w:val="20"/>
              </w:rPr>
              <w:t>-0.36</w:t>
            </w:r>
            <w:r w:rsidR="18807C69" w:rsidRPr="1A6DFC8B">
              <w:rPr>
                <w:sz w:val="20"/>
                <w:szCs w:val="20"/>
              </w:rPr>
              <w:t>m</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3F9DC694" w14:textId="5F5263D1" w:rsidR="1A6DFC8B" w:rsidRDefault="1A6DFC8B" w:rsidP="1A6DFC8B">
            <w:pPr>
              <w:jc w:val="center"/>
              <w:rPr>
                <w:sz w:val="20"/>
                <w:szCs w:val="20"/>
              </w:rPr>
            </w:pPr>
            <w:r w:rsidRPr="1A6DFC8B">
              <w:rPr>
                <w:sz w:val="20"/>
                <w:szCs w:val="20"/>
              </w:rPr>
              <w:t>-0.26</w:t>
            </w:r>
            <w:r w:rsidR="32B45877"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2D9B2FBC" w14:textId="46777349" w:rsidR="1A6DFC8B" w:rsidRDefault="1A6DFC8B" w:rsidP="1A6DFC8B">
            <w:pPr>
              <w:jc w:val="center"/>
              <w:rPr>
                <w:sz w:val="20"/>
                <w:szCs w:val="20"/>
              </w:rPr>
            </w:pPr>
            <w:r w:rsidRPr="1A6DFC8B">
              <w:rPr>
                <w:sz w:val="20"/>
                <w:szCs w:val="20"/>
              </w:rPr>
              <w:t>-0.36</w:t>
            </w:r>
            <w:r w:rsidR="0252C0B4"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00C7BA95" w14:textId="08BE67BC" w:rsidR="1A6DFC8B" w:rsidRDefault="1A6DFC8B" w:rsidP="1A6DFC8B">
            <w:pPr>
              <w:jc w:val="center"/>
              <w:rPr>
                <w:sz w:val="20"/>
                <w:szCs w:val="20"/>
              </w:rPr>
            </w:pPr>
            <w:r w:rsidRPr="1A6DFC8B">
              <w:rPr>
                <w:sz w:val="20"/>
                <w:szCs w:val="20"/>
              </w:rPr>
              <w:t>-0.26</w:t>
            </w:r>
            <w:r w:rsidR="183AF85B"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73C246C7" w14:textId="2563D24F" w:rsidR="1A6DFC8B" w:rsidRDefault="1A6DFC8B" w:rsidP="1A6DFC8B">
            <w:pPr>
              <w:jc w:val="center"/>
              <w:rPr>
                <w:sz w:val="20"/>
                <w:szCs w:val="20"/>
              </w:rPr>
            </w:pPr>
            <w:r w:rsidRPr="1A6DFC8B">
              <w:rPr>
                <w:sz w:val="20"/>
                <w:szCs w:val="20"/>
              </w:rPr>
              <w:t>-0.91</w:t>
            </w:r>
            <w:r w:rsidR="6E364AC4"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84CDAA"/>
            <w:tcMar>
              <w:top w:w="30" w:type="dxa"/>
              <w:left w:w="45" w:type="dxa"/>
              <w:bottom w:w="30" w:type="dxa"/>
              <w:right w:w="45" w:type="dxa"/>
            </w:tcMar>
            <w:vAlign w:val="bottom"/>
          </w:tcPr>
          <w:p w14:paraId="2A1DB8C8" w14:textId="05281360" w:rsidR="1A6DFC8B" w:rsidRDefault="1A6DFC8B" w:rsidP="1A6DFC8B">
            <w:pPr>
              <w:jc w:val="center"/>
              <w:rPr>
                <w:sz w:val="20"/>
                <w:szCs w:val="20"/>
              </w:rPr>
            </w:pPr>
            <w:r w:rsidRPr="1A6DFC8B">
              <w:rPr>
                <w:sz w:val="20"/>
                <w:szCs w:val="20"/>
              </w:rPr>
              <w:t>-0.76</w:t>
            </w:r>
            <w:r w:rsidR="5E874A08" w:rsidRPr="1A6DFC8B">
              <w:rPr>
                <w:sz w:val="20"/>
                <w:szCs w:val="20"/>
              </w:rPr>
              <w:t>m</w:t>
            </w:r>
          </w:p>
        </w:tc>
      </w:tr>
      <w:tr w:rsidR="1A6DFC8B" w14:paraId="3793C0E4"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794A200" w14:textId="291C2B2E" w:rsidR="1A6DFC8B" w:rsidRDefault="1A6DFC8B" w:rsidP="1A6DFC8B">
            <w:pPr>
              <w:rPr>
                <w:sz w:val="20"/>
                <w:szCs w:val="20"/>
              </w:rPr>
            </w:pPr>
            <w:r w:rsidRPr="1A6DFC8B">
              <w:rPr>
                <w:sz w:val="20"/>
                <w:szCs w:val="20"/>
              </w:rPr>
              <w:t>Change in fuel poverty for households with a 65+ household representative person</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22E02EDD" w14:textId="3AAB6CE8" w:rsidR="1A6DFC8B" w:rsidRDefault="1A6DFC8B" w:rsidP="1A6DFC8B">
            <w:pPr>
              <w:jc w:val="center"/>
              <w:rPr>
                <w:sz w:val="20"/>
                <w:szCs w:val="20"/>
              </w:rPr>
            </w:pPr>
            <w:r w:rsidRPr="1A6DFC8B">
              <w:rPr>
                <w:sz w:val="20"/>
                <w:szCs w:val="20"/>
              </w:rPr>
              <w:t>-0.15</w:t>
            </w:r>
            <w:r w:rsidR="5ABF000F" w:rsidRPr="1A6DFC8B">
              <w:rPr>
                <w:sz w:val="20"/>
                <w:szCs w:val="20"/>
              </w:rPr>
              <w:t>m</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4D45AB86" w14:textId="069E187F" w:rsidR="1A6DFC8B" w:rsidRDefault="1A6DFC8B" w:rsidP="1A6DFC8B">
            <w:pPr>
              <w:jc w:val="center"/>
              <w:rPr>
                <w:sz w:val="20"/>
                <w:szCs w:val="20"/>
              </w:rPr>
            </w:pPr>
            <w:r w:rsidRPr="1A6DFC8B">
              <w:rPr>
                <w:sz w:val="20"/>
                <w:szCs w:val="20"/>
              </w:rPr>
              <w:t>-0.13</w:t>
            </w:r>
            <w:r w:rsidR="7F63CC8F"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478607C1" w14:textId="51A82499" w:rsidR="1A6DFC8B" w:rsidRDefault="1A6DFC8B" w:rsidP="1A6DFC8B">
            <w:pPr>
              <w:jc w:val="center"/>
              <w:rPr>
                <w:sz w:val="20"/>
                <w:szCs w:val="20"/>
              </w:rPr>
            </w:pPr>
            <w:r w:rsidRPr="1A6DFC8B">
              <w:rPr>
                <w:sz w:val="20"/>
                <w:szCs w:val="20"/>
              </w:rPr>
              <w:t>-0.15</w:t>
            </w:r>
            <w:r w:rsidR="239AAB01"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08DBC760" w14:textId="5E5EE2BB" w:rsidR="1A6DFC8B" w:rsidRDefault="1A6DFC8B" w:rsidP="1A6DFC8B">
            <w:pPr>
              <w:jc w:val="center"/>
              <w:rPr>
                <w:sz w:val="20"/>
                <w:szCs w:val="20"/>
              </w:rPr>
            </w:pPr>
            <w:r w:rsidRPr="1A6DFC8B">
              <w:rPr>
                <w:sz w:val="20"/>
                <w:szCs w:val="20"/>
              </w:rPr>
              <w:t>-0.13</w:t>
            </w:r>
            <w:r w:rsidR="4D6F0A9C"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59B03DAB" w14:textId="6D57C5BC" w:rsidR="1A6DFC8B" w:rsidRDefault="1A6DFC8B" w:rsidP="1A6DFC8B">
            <w:pPr>
              <w:jc w:val="center"/>
              <w:rPr>
                <w:sz w:val="20"/>
                <w:szCs w:val="20"/>
              </w:rPr>
            </w:pPr>
            <w:r w:rsidRPr="1A6DFC8B">
              <w:rPr>
                <w:sz w:val="20"/>
                <w:szCs w:val="20"/>
              </w:rPr>
              <w:t>-0.40</w:t>
            </w:r>
            <w:r w:rsidR="7311F95F" w:rsidRPr="1A6DFC8B">
              <w:rPr>
                <w:sz w:val="20"/>
                <w:szCs w:val="20"/>
              </w:rPr>
              <w:t>m</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77C8A0"/>
            <w:tcMar>
              <w:top w:w="30" w:type="dxa"/>
              <w:left w:w="45" w:type="dxa"/>
              <w:bottom w:w="30" w:type="dxa"/>
              <w:right w:w="45" w:type="dxa"/>
            </w:tcMar>
            <w:vAlign w:val="bottom"/>
          </w:tcPr>
          <w:p w14:paraId="080990F1" w14:textId="7C14FFF5" w:rsidR="1A6DFC8B" w:rsidRDefault="1A6DFC8B" w:rsidP="1A6DFC8B">
            <w:pPr>
              <w:jc w:val="center"/>
              <w:rPr>
                <w:sz w:val="20"/>
                <w:szCs w:val="20"/>
              </w:rPr>
            </w:pPr>
            <w:r w:rsidRPr="1A6DFC8B">
              <w:rPr>
                <w:sz w:val="20"/>
                <w:szCs w:val="20"/>
              </w:rPr>
              <w:t>-0.35</w:t>
            </w:r>
            <w:r w:rsidR="1A38D803" w:rsidRPr="1A6DFC8B">
              <w:rPr>
                <w:sz w:val="20"/>
                <w:szCs w:val="20"/>
              </w:rPr>
              <w:t>m</w:t>
            </w:r>
          </w:p>
        </w:tc>
      </w:tr>
      <w:tr w:rsidR="1A6DFC8B" w14:paraId="4200EE95" w14:textId="77777777" w:rsidTr="1A6DFC8B">
        <w:trPr>
          <w:trHeight w:val="315"/>
        </w:trPr>
        <w:tc>
          <w:tcPr>
            <w:tcW w:w="142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210D3F38" w14:textId="4224BEE8" w:rsidR="1A6DFC8B" w:rsidRDefault="1A6DFC8B" w:rsidP="1A6DFC8B">
            <w:pPr>
              <w:rPr>
                <w:sz w:val="20"/>
                <w:szCs w:val="20"/>
              </w:rPr>
            </w:pPr>
            <w:r w:rsidRPr="1A6DFC8B">
              <w:rPr>
                <w:sz w:val="20"/>
                <w:szCs w:val="20"/>
              </w:rPr>
              <w:t>Value for money i.e. Cost per household brought out of fuel poverty</w:t>
            </w:r>
          </w:p>
        </w:tc>
        <w:tc>
          <w:tcPr>
            <w:tcW w:w="10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188116E0" w14:textId="41427501" w:rsidR="1A6DFC8B" w:rsidRDefault="1A6DFC8B" w:rsidP="1A6DFC8B">
            <w:pPr>
              <w:jc w:val="center"/>
              <w:rPr>
                <w:sz w:val="20"/>
                <w:szCs w:val="20"/>
              </w:rPr>
            </w:pPr>
            <w:r w:rsidRPr="1A6DFC8B">
              <w:rPr>
                <w:sz w:val="20"/>
                <w:szCs w:val="20"/>
              </w:rPr>
              <w:t>£4,628</w:t>
            </w:r>
          </w:p>
        </w:tc>
        <w:tc>
          <w:tcPr>
            <w:tcW w:w="118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02798915" w14:textId="4A1DBE24" w:rsidR="1A6DFC8B" w:rsidRDefault="1A6DFC8B" w:rsidP="1A6DFC8B">
            <w:pPr>
              <w:jc w:val="center"/>
              <w:rPr>
                <w:sz w:val="20"/>
                <w:szCs w:val="20"/>
              </w:rPr>
            </w:pPr>
            <w:r w:rsidRPr="1A6DFC8B">
              <w:rPr>
                <w:sz w:val="20"/>
                <w:szCs w:val="20"/>
              </w:rPr>
              <w:t>£4,895</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57BB8A"/>
            <w:tcMar>
              <w:top w:w="30" w:type="dxa"/>
              <w:left w:w="45" w:type="dxa"/>
              <w:bottom w:w="30" w:type="dxa"/>
              <w:right w:w="45" w:type="dxa"/>
            </w:tcMar>
            <w:vAlign w:val="bottom"/>
          </w:tcPr>
          <w:p w14:paraId="75F064C2" w14:textId="41CF85FF" w:rsidR="1A6DFC8B" w:rsidRDefault="1A6DFC8B" w:rsidP="1A6DFC8B">
            <w:pPr>
              <w:jc w:val="center"/>
              <w:rPr>
                <w:sz w:val="20"/>
                <w:szCs w:val="20"/>
              </w:rPr>
            </w:pPr>
            <w:r w:rsidRPr="1A6DFC8B">
              <w:rPr>
                <w:sz w:val="20"/>
                <w:szCs w:val="20"/>
              </w:rPr>
              <w:t>£4,628</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1"/>
            <w:tcMar>
              <w:top w:w="30" w:type="dxa"/>
              <w:left w:w="45" w:type="dxa"/>
              <w:bottom w:w="30" w:type="dxa"/>
              <w:right w:w="45" w:type="dxa"/>
            </w:tcMar>
            <w:vAlign w:val="bottom"/>
          </w:tcPr>
          <w:p w14:paraId="133DEBC4" w14:textId="71A7B355" w:rsidR="1A6DFC8B" w:rsidRDefault="1A6DFC8B" w:rsidP="1A6DFC8B">
            <w:pPr>
              <w:jc w:val="center"/>
              <w:rPr>
                <w:sz w:val="20"/>
                <w:szCs w:val="20"/>
              </w:rPr>
            </w:pPr>
            <w:r w:rsidRPr="1A6DFC8B">
              <w:rPr>
                <w:sz w:val="20"/>
                <w:szCs w:val="20"/>
              </w:rPr>
              <w:t>£4,895</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78179"/>
            <w:tcMar>
              <w:top w:w="30" w:type="dxa"/>
              <w:left w:w="45" w:type="dxa"/>
              <w:bottom w:w="30" w:type="dxa"/>
              <w:right w:w="45" w:type="dxa"/>
            </w:tcMar>
            <w:vAlign w:val="bottom"/>
          </w:tcPr>
          <w:p w14:paraId="7B44EFE2" w14:textId="76DCF83C" w:rsidR="1A6DFC8B" w:rsidRDefault="1A6DFC8B" w:rsidP="1A6DFC8B">
            <w:pPr>
              <w:jc w:val="center"/>
              <w:rPr>
                <w:sz w:val="20"/>
                <w:szCs w:val="20"/>
              </w:rPr>
            </w:pPr>
            <w:r w:rsidRPr="1A6DFC8B">
              <w:rPr>
                <w:sz w:val="20"/>
                <w:szCs w:val="20"/>
              </w:rPr>
              <w:t>£6,862</w:t>
            </w:r>
          </w:p>
        </w:tc>
        <w:tc>
          <w:tcPr>
            <w:tcW w:w="1395" w:type="dxa"/>
            <w:tcBorders>
              <w:top w:val="single" w:sz="6" w:space="0" w:color="CCCCCC"/>
              <w:left w:val="single" w:sz="6" w:space="0" w:color="CCCCCC"/>
              <w:bottom w:val="single" w:sz="6" w:space="0" w:color="000000" w:themeColor="text1"/>
              <w:right w:val="single" w:sz="6" w:space="0" w:color="000000" w:themeColor="text1"/>
            </w:tcBorders>
            <w:shd w:val="clear" w:color="auto" w:fill="E67C73"/>
            <w:tcMar>
              <w:top w:w="30" w:type="dxa"/>
              <w:left w:w="45" w:type="dxa"/>
              <w:bottom w:w="30" w:type="dxa"/>
              <w:right w:w="45" w:type="dxa"/>
            </w:tcMar>
            <w:vAlign w:val="bottom"/>
          </w:tcPr>
          <w:p w14:paraId="03ABC3E7" w14:textId="4B6BD727" w:rsidR="1A6DFC8B" w:rsidRDefault="1A6DFC8B" w:rsidP="1A6DFC8B">
            <w:pPr>
              <w:jc w:val="center"/>
              <w:rPr>
                <w:sz w:val="20"/>
                <w:szCs w:val="20"/>
              </w:rPr>
            </w:pPr>
            <w:r w:rsidRPr="1A6DFC8B">
              <w:rPr>
                <w:sz w:val="20"/>
                <w:szCs w:val="20"/>
              </w:rPr>
              <w:t>£6,939</w:t>
            </w:r>
          </w:p>
        </w:tc>
      </w:tr>
    </w:tbl>
    <w:p w14:paraId="55990DDD" w14:textId="0330732E" w:rsidR="1A6DFC8B" w:rsidRDefault="1A6DFC8B" w:rsidP="1A6DFC8B">
      <w:pPr>
        <w:spacing w:after="0" w:line="276" w:lineRule="auto"/>
        <w:rPr>
          <w:b/>
          <w:bCs/>
          <w:sz w:val="28"/>
          <w:szCs w:val="28"/>
        </w:rPr>
      </w:pPr>
    </w:p>
    <w:p w14:paraId="057A0545" w14:textId="2334D666" w:rsidR="001A5E58" w:rsidRPr="00A4313C" w:rsidRDefault="7CCBDF19" w:rsidP="3C85173F">
      <w:pPr>
        <w:spacing w:after="0" w:line="276" w:lineRule="auto"/>
        <w:rPr>
          <w:sz w:val="24"/>
          <w:szCs w:val="24"/>
        </w:rPr>
      </w:pPr>
      <w:r w:rsidRPr="00A4313C">
        <w:rPr>
          <w:sz w:val="24"/>
          <w:szCs w:val="24"/>
        </w:rPr>
        <w:t>Source: Public First analysis of Living Cost and Food Survey (2022/23) uprated for 2025</w:t>
      </w:r>
    </w:p>
    <w:p w14:paraId="3EFFF3C7" w14:textId="25C8A9EA" w:rsidR="3C85173F" w:rsidRDefault="3C85173F" w:rsidP="3C85173F">
      <w:pPr>
        <w:spacing w:after="0" w:line="276" w:lineRule="auto"/>
        <w:rPr>
          <w:i/>
          <w:iCs/>
          <w:sz w:val="24"/>
          <w:szCs w:val="24"/>
        </w:rPr>
      </w:pPr>
    </w:p>
    <w:sectPr w:rsidR="3C85173F">
      <w:headerReference w:type="default" r:id="rId38"/>
      <w:footerReference w:type="default" r:id="rId39"/>
      <w:footerReference w:type="first" r:id="rId40"/>
      <w:pgSz w:w="11906" w:h="16838"/>
      <w:pgMar w:top="1247" w:right="851" w:bottom="1247" w:left="851"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7625D" w14:textId="77777777" w:rsidR="008543A6" w:rsidRDefault="008543A6">
      <w:pPr>
        <w:spacing w:after="0"/>
      </w:pPr>
      <w:r>
        <w:separator/>
      </w:r>
    </w:p>
  </w:endnote>
  <w:endnote w:type="continuationSeparator" w:id="0">
    <w:p w14:paraId="4385E819" w14:textId="77777777" w:rsidR="008543A6" w:rsidRDefault="008543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B651" w14:textId="77777777" w:rsidR="001A5E58" w:rsidRDefault="001A5E58">
    <w:pPr>
      <w:pBdr>
        <w:top w:val="nil"/>
        <w:left w:val="nil"/>
        <w:bottom w:val="nil"/>
        <w:right w:val="nil"/>
        <w:between w:val="nil"/>
      </w:pBdr>
      <w:tabs>
        <w:tab w:val="center" w:pos="4513"/>
        <w:tab w:val="right" w:pos="9026"/>
      </w:tabs>
      <w:spacing w:after="0"/>
    </w:pPr>
  </w:p>
  <w:tbl>
    <w:tblPr>
      <w:tblW w:w="10485" w:type="dxa"/>
      <w:jc w:val="center"/>
      <w:tblBorders>
        <w:top w:val="single" w:sz="8" w:space="0" w:color="173162"/>
        <w:left w:val="single" w:sz="8" w:space="0" w:color="173162"/>
        <w:bottom w:val="single" w:sz="8" w:space="0" w:color="173162"/>
        <w:right w:val="single" w:sz="8" w:space="0" w:color="173162"/>
        <w:insideH w:val="single" w:sz="8" w:space="0" w:color="173162"/>
        <w:insideV w:val="single" w:sz="8" w:space="0" w:color="173162"/>
      </w:tblBorders>
      <w:tblLayout w:type="fixed"/>
      <w:tblCellMar>
        <w:top w:w="100" w:type="dxa"/>
        <w:left w:w="100" w:type="dxa"/>
        <w:bottom w:w="100" w:type="dxa"/>
        <w:right w:w="100" w:type="dxa"/>
      </w:tblCellMar>
      <w:tblLook w:val="0600" w:firstRow="0" w:lastRow="0" w:firstColumn="0" w:lastColumn="0" w:noHBand="1" w:noVBand="1"/>
    </w:tblPr>
    <w:tblGrid>
      <w:gridCol w:w="1020"/>
      <w:gridCol w:w="8400"/>
      <w:gridCol w:w="1065"/>
    </w:tblGrid>
    <w:tr w:rsidR="001A5E58" w14:paraId="7B1A2CCF" w14:textId="77777777">
      <w:trPr>
        <w:trHeight w:val="735"/>
        <w:jc w:val="center"/>
      </w:trPr>
      <w:tc>
        <w:tcPr>
          <w:tcW w:w="1020" w:type="dxa"/>
          <w:tcBorders>
            <w:top w:val="single" w:sz="12" w:space="0" w:color="173162"/>
            <w:left w:val="nil"/>
            <w:bottom w:val="nil"/>
            <w:right w:val="nil"/>
          </w:tcBorders>
          <w:tcMar>
            <w:top w:w="100" w:type="dxa"/>
            <w:left w:w="100" w:type="dxa"/>
            <w:bottom w:w="100" w:type="dxa"/>
            <w:right w:w="100" w:type="dxa"/>
          </w:tcMar>
          <w:vAlign w:val="center"/>
        </w:tcPr>
        <w:p w14:paraId="348312B9" w14:textId="77777777" w:rsidR="001A5E58" w:rsidRDefault="00F84F72">
          <w:pPr>
            <w:widowControl w:val="0"/>
            <w:pBdr>
              <w:top w:val="nil"/>
              <w:left w:val="nil"/>
              <w:bottom w:val="nil"/>
              <w:right w:val="nil"/>
              <w:between w:val="nil"/>
            </w:pBdr>
            <w:spacing w:after="0"/>
          </w:pPr>
          <w:r>
            <w:fldChar w:fldCharType="begin"/>
          </w:r>
          <w:r>
            <w:instrText>PAGE</w:instrText>
          </w:r>
          <w:r>
            <w:fldChar w:fldCharType="separate"/>
          </w:r>
          <w:r w:rsidR="00DC6F1F">
            <w:rPr>
              <w:noProof/>
            </w:rPr>
            <w:t>2</w:t>
          </w:r>
          <w:r>
            <w:fldChar w:fldCharType="end"/>
          </w:r>
          <w:r>
            <w:t xml:space="preserve"> </w:t>
          </w:r>
        </w:p>
      </w:tc>
      <w:tc>
        <w:tcPr>
          <w:tcW w:w="8400" w:type="dxa"/>
          <w:tcBorders>
            <w:top w:val="single" w:sz="12" w:space="0" w:color="173162"/>
            <w:left w:val="nil"/>
            <w:bottom w:val="nil"/>
            <w:right w:val="nil"/>
          </w:tcBorders>
          <w:tcMar>
            <w:top w:w="100" w:type="dxa"/>
            <w:left w:w="100" w:type="dxa"/>
            <w:bottom w:w="100" w:type="dxa"/>
            <w:right w:w="100" w:type="dxa"/>
          </w:tcMar>
          <w:vAlign w:val="center"/>
        </w:tcPr>
        <w:p w14:paraId="2372201F" w14:textId="77777777" w:rsidR="001A5E58" w:rsidRDefault="00F84F72">
          <w:pPr>
            <w:widowControl w:val="0"/>
            <w:pBdr>
              <w:top w:val="nil"/>
              <w:left w:val="nil"/>
              <w:bottom w:val="nil"/>
              <w:right w:val="nil"/>
              <w:between w:val="nil"/>
            </w:pBdr>
            <w:spacing w:after="0"/>
            <w:jc w:val="right"/>
          </w:pPr>
          <w:r>
            <w:t>Public First 2025</w:t>
          </w:r>
        </w:p>
      </w:tc>
      <w:tc>
        <w:tcPr>
          <w:tcW w:w="1065" w:type="dxa"/>
          <w:tcBorders>
            <w:top w:val="single" w:sz="12" w:space="0" w:color="173162"/>
            <w:left w:val="nil"/>
            <w:bottom w:val="nil"/>
            <w:right w:val="nil"/>
          </w:tcBorders>
          <w:tcMar>
            <w:top w:w="100" w:type="dxa"/>
            <w:left w:w="100" w:type="dxa"/>
            <w:bottom w:w="100" w:type="dxa"/>
            <w:right w:w="100" w:type="dxa"/>
          </w:tcMar>
          <w:vAlign w:val="center"/>
        </w:tcPr>
        <w:p w14:paraId="6C4701BA" w14:textId="77777777" w:rsidR="001A5E58" w:rsidRDefault="00F84F72">
          <w:pPr>
            <w:widowControl w:val="0"/>
            <w:pBdr>
              <w:top w:val="nil"/>
              <w:left w:val="nil"/>
              <w:bottom w:val="nil"/>
              <w:right w:val="nil"/>
              <w:between w:val="nil"/>
            </w:pBdr>
            <w:spacing w:after="0"/>
            <w:jc w:val="right"/>
            <w:rPr>
              <w:color w:val="173162"/>
            </w:rPr>
          </w:pPr>
          <w:r>
            <w:rPr>
              <w:noProof/>
              <w:color w:val="173162"/>
            </w:rPr>
            <w:drawing>
              <wp:inline distT="114300" distB="114300" distL="114300" distR="114300" wp14:anchorId="0CCB53DE" wp14:editId="485CA2F1">
                <wp:extent cx="247620" cy="239081"/>
                <wp:effectExtent l="0" t="0" r="0" b="0"/>
                <wp:docPr id="7" name="image7.png" descr="Public First logo"/>
                <wp:cNvGraphicFramePr/>
                <a:graphic xmlns:a="http://schemas.openxmlformats.org/drawingml/2006/main">
                  <a:graphicData uri="http://schemas.openxmlformats.org/drawingml/2006/picture">
                    <pic:pic xmlns:pic="http://schemas.openxmlformats.org/drawingml/2006/picture">
                      <pic:nvPicPr>
                        <pic:cNvPr id="7" name="image7.png" descr="Public First logo"/>
                        <pic:cNvPicPr preferRelativeResize="0"/>
                      </pic:nvPicPr>
                      <pic:blipFill>
                        <a:blip r:embed="rId1"/>
                        <a:srcRect/>
                        <a:stretch>
                          <a:fillRect/>
                        </a:stretch>
                      </pic:blipFill>
                      <pic:spPr>
                        <a:xfrm>
                          <a:off x="0" y="0"/>
                          <a:ext cx="247620" cy="239081"/>
                        </a:xfrm>
                        <a:prstGeom prst="rect">
                          <a:avLst/>
                        </a:prstGeom>
                        <a:ln/>
                      </pic:spPr>
                    </pic:pic>
                  </a:graphicData>
                </a:graphic>
              </wp:inline>
            </w:drawing>
          </w:r>
        </w:p>
      </w:tc>
    </w:tr>
  </w:tbl>
  <w:p w14:paraId="3636054C" w14:textId="77777777" w:rsidR="001A5E58" w:rsidRDefault="001A5E58">
    <w:pPr>
      <w:tabs>
        <w:tab w:val="center" w:pos="4513"/>
        <w:tab w:val="right" w:pos="9026"/>
      </w:tabs>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13EE" w14:textId="77777777" w:rsidR="001A5E58" w:rsidRDefault="001A5E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A3A9C" w14:textId="77777777" w:rsidR="008543A6" w:rsidRDefault="008543A6">
      <w:pPr>
        <w:spacing w:after="0"/>
      </w:pPr>
      <w:r>
        <w:separator/>
      </w:r>
    </w:p>
  </w:footnote>
  <w:footnote w:type="continuationSeparator" w:id="0">
    <w:p w14:paraId="73A940DD" w14:textId="77777777" w:rsidR="008543A6" w:rsidRDefault="008543A6">
      <w:pPr>
        <w:spacing w:after="0"/>
      </w:pPr>
      <w:r>
        <w:continuationSeparator/>
      </w:r>
    </w:p>
  </w:footnote>
  <w:footnote w:id="1">
    <w:p w14:paraId="2AE034F1" w14:textId="01545B78" w:rsidR="005B1EA8" w:rsidRPr="00344BBB" w:rsidRDefault="005B1EA8">
      <w:pPr>
        <w:pStyle w:val="FootnoteText"/>
      </w:pPr>
      <w:r w:rsidRPr="00344BBB">
        <w:rPr>
          <w:rStyle w:val="FootnoteReference"/>
        </w:rPr>
        <w:footnoteRef/>
      </w:r>
      <w:r w:rsidRPr="00344BBB">
        <w:t xml:space="preserve"> Public First, New polling for NESO, July 2025. 9,758 sample of British adults from 5-16</w:t>
      </w:r>
      <w:r w:rsidRPr="00344BBB">
        <w:rPr>
          <w:vertAlign w:val="superscript"/>
        </w:rPr>
        <w:t>th</w:t>
      </w:r>
      <w:r w:rsidRPr="00344BBB">
        <w:t xml:space="preserve"> December 2024.</w:t>
      </w:r>
    </w:p>
  </w:footnote>
  <w:footnote w:id="2">
    <w:p w14:paraId="40D0872B" w14:textId="674717A7" w:rsidR="00C319FA" w:rsidRPr="00344BBB" w:rsidRDefault="00C319FA" w:rsidP="00C319FA">
      <w:pPr>
        <w:spacing w:after="0"/>
        <w:rPr>
          <w:sz w:val="24"/>
          <w:szCs w:val="24"/>
        </w:rPr>
      </w:pPr>
      <w:r w:rsidRPr="00344BBB">
        <w:rPr>
          <w:vertAlign w:val="superscript"/>
        </w:rPr>
        <w:footnoteRef/>
      </w:r>
      <w:r w:rsidRPr="00344BBB">
        <w:rPr>
          <w:sz w:val="24"/>
          <w:szCs w:val="24"/>
        </w:rPr>
        <w:t xml:space="preserve"> </w:t>
      </w:r>
      <w:r w:rsidRPr="00344BBB">
        <w:rPr>
          <w:sz w:val="20"/>
          <w:szCs w:val="20"/>
        </w:rPr>
        <w:t>Ofgem, Number of domestic smart prepayment meter customers self-disconnecting at least once, March 2025.</w:t>
      </w:r>
    </w:p>
  </w:footnote>
  <w:footnote w:id="3">
    <w:p w14:paraId="21CD97D9" w14:textId="54C9068F" w:rsidR="00B41708" w:rsidRDefault="00B41708" w:rsidP="00B41708">
      <w:pPr>
        <w:spacing w:after="0"/>
        <w:rPr>
          <w:sz w:val="24"/>
          <w:szCs w:val="24"/>
        </w:rPr>
      </w:pPr>
      <w:r w:rsidRPr="00344BBB">
        <w:rPr>
          <w:vertAlign w:val="superscript"/>
        </w:rPr>
        <w:footnoteRef/>
      </w:r>
      <w:r w:rsidRPr="00344BBB">
        <w:rPr>
          <w:sz w:val="24"/>
          <w:szCs w:val="24"/>
        </w:rPr>
        <w:t xml:space="preserve"> </w:t>
      </w:r>
      <w:r w:rsidRPr="00344BBB">
        <w:rPr>
          <w:sz w:val="20"/>
          <w:szCs w:val="20"/>
        </w:rPr>
        <w:t>Ofgem, Total financial value of domestic customer debt and arrears (existing for more than 91 days), March 2025.</w:t>
      </w:r>
    </w:p>
  </w:footnote>
  <w:footnote w:id="4">
    <w:p w14:paraId="6390FF83" w14:textId="77777777" w:rsidR="001A5E58" w:rsidRPr="00344BBB" w:rsidRDefault="00F84F72">
      <w:pPr>
        <w:spacing w:after="0"/>
        <w:rPr>
          <w:sz w:val="24"/>
          <w:szCs w:val="24"/>
        </w:rPr>
      </w:pPr>
      <w:r w:rsidRPr="00344BBB">
        <w:rPr>
          <w:vertAlign w:val="superscript"/>
        </w:rPr>
        <w:footnoteRef/>
      </w:r>
      <w:r w:rsidRPr="00344BBB">
        <w:rPr>
          <w:sz w:val="24"/>
          <w:szCs w:val="24"/>
        </w:rPr>
        <w:t xml:space="preserve"> </w:t>
      </w:r>
      <w:r w:rsidRPr="00344BBB">
        <w:rPr>
          <w:sz w:val="20"/>
          <w:szCs w:val="20"/>
        </w:rPr>
        <w:t>Difference between direct debit price cap prices from July-September 2025 and 2020/21 winter. Ofgem, Costs included in price cap level, May 2025</w:t>
      </w:r>
    </w:p>
  </w:footnote>
  <w:footnote w:id="5">
    <w:p w14:paraId="433E6883" w14:textId="77777777" w:rsidR="001A5E58" w:rsidRDefault="00F84F72">
      <w:pPr>
        <w:spacing w:after="0"/>
        <w:rPr>
          <w:i/>
          <w:sz w:val="20"/>
          <w:szCs w:val="20"/>
        </w:rPr>
      </w:pPr>
      <w:r w:rsidRPr="00344BBB">
        <w:rPr>
          <w:vertAlign w:val="superscript"/>
        </w:rPr>
        <w:footnoteRef/>
      </w:r>
      <w:r w:rsidRPr="00344BBB">
        <w:rPr>
          <w:sz w:val="20"/>
          <w:szCs w:val="20"/>
        </w:rPr>
        <w:t xml:space="preserve"> Department for Energy Security and Net Zero, Annual fuel poverty statistics, 2025.</w:t>
      </w:r>
    </w:p>
  </w:footnote>
  <w:footnote w:id="6">
    <w:p w14:paraId="4C3C39D6"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Department for Energy Security and Net Zero, Annual fuel poverty statistics, March 2025.</w:t>
      </w:r>
    </w:p>
  </w:footnote>
  <w:footnote w:id="7">
    <w:p w14:paraId="3D83B530"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House of Commons Library, Fuel poverty in the UK, April 2025.</w:t>
      </w:r>
    </w:p>
  </w:footnote>
  <w:footnote w:id="8">
    <w:p w14:paraId="43A43027" w14:textId="3782B731" w:rsidR="3C85173F" w:rsidRPr="00344BBB" w:rsidRDefault="3C85173F" w:rsidP="3C85173F">
      <w:pPr>
        <w:pStyle w:val="FootnoteText"/>
      </w:pPr>
      <w:r w:rsidRPr="00344BBB">
        <w:rPr>
          <w:rStyle w:val="FootnoteReference"/>
        </w:rPr>
        <w:footnoteRef/>
      </w:r>
      <w:r w:rsidRPr="00344BBB">
        <w:t xml:space="preserve"> Housing Executive, House Condition Survey Northern Ireland, 2016</w:t>
      </w:r>
    </w:p>
  </w:footnote>
  <w:footnote w:id="9">
    <w:p w14:paraId="529815F6" w14:textId="3D987679" w:rsidR="3C85173F" w:rsidRPr="00344BBB" w:rsidRDefault="3C85173F" w:rsidP="3C85173F">
      <w:pPr>
        <w:pStyle w:val="FootnoteText"/>
      </w:pPr>
      <w:r w:rsidRPr="00344BBB">
        <w:rPr>
          <w:rStyle w:val="FootnoteReference"/>
        </w:rPr>
        <w:footnoteRef/>
      </w:r>
      <w:r w:rsidRPr="00344BBB">
        <w:t xml:space="preserve"> National Energy Action, ‘Too scared to turn on the heat’ – 40% of Northern Irish households are still in fuel poverty, November 2024.</w:t>
      </w:r>
    </w:p>
  </w:footnote>
  <w:footnote w:id="10">
    <w:p w14:paraId="00CAC23E" w14:textId="77777777" w:rsidR="001A5E58" w:rsidRDefault="00F84F72">
      <w:pPr>
        <w:spacing w:after="0"/>
        <w:rPr>
          <w:i/>
          <w:sz w:val="20"/>
          <w:szCs w:val="20"/>
        </w:rPr>
      </w:pPr>
      <w:r w:rsidRPr="00344BBB">
        <w:rPr>
          <w:vertAlign w:val="superscript"/>
        </w:rPr>
        <w:footnoteRef/>
      </w:r>
      <w:r w:rsidRPr="00344BBB">
        <w:rPr>
          <w:sz w:val="20"/>
          <w:szCs w:val="20"/>
        </w:rPr>
        <w:t xml:space="preserve"> National Energy Action, ‘Timeline of the energy crisis’, April 2025.</w:t>
      </w:r>
    </w:p>
  </w:footnote>
  <w:footnote w:id="11">
    <w:p w14:paraId="7D8A62CB"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Committee on Fuel Poverty, Can Fuel Poverty be Ended? Annual Report 2024, August 2024.</w:t>
      </w:r>
    </w:p>
  </w:footnote>
  <w:footnote w:id="12">
    <w:p w14:paraId="4049D1BA" w14:textId="1A63DAEE" w:rsidR="007E1F66" w:rsidRPr="00344BBB" w:rsidRDefault="007E1F66" w:rsidP="007E1F66">
      <w:pPr>
        <w:spacing w:after="0"/>
        <w:rPr>
          <w:sz w:val="20"/>
          <w:szCs w:val="20"/>
        </w:rPr>
      </w:pPr>
      <w:r w:rsidRPr="00344BBB">
        <w:rPr>
          <w:vertAlign w:val="superscript"/>
        </w:rPr>
        <w:footnoteRef/>
      </w:r>
      <w:r w:rsidRPr="00344BBB">
        <w:rPr>
          <w:sz w:val="20"/>
          <w:szCs w:val="20"/>
        </w:rPr>
        <w:t xml:space="preserve"> London Economics, Understanding the challenges faced by fuel poor households, May 2023</w:t>
      </w:r>
      <w:r w:rsidR="00344BBB">
        <w:rPr>
          <w:sz w:val="20"/>
          <w:szCs w:val="20"/>
        </w:rPr>
        <w:t>.</w:t>
      </w:r>
    </w:p>
    <w:p w14:paraId="6AFFAC7A" w14:textId="77777777" w:rsidR="007E1F66" w:rsidRDefault="007E1F66" w:rsidP="007E1F66">
      <w:pPr>
        <w:spacing w:after="0"/>
        <w:rPr>
          <w:i/>
          <w:sz w:val="20"/>
          <w:szCs w:val="20"/>
        </w:rPr>
      </w:pPr>
    </w:p>
  </w:footnote>
  <w:footnote w:id="13">
    <w:p w14:paraId="424DC16E"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London Economics, Understanding the challenges faced by fuel poor households, May 2023</w:t>
      </w:r>
    </w:p>
    <w:p w14:paraId="3C02762C" w14:textId="77777777" w:rsidR="001A5E58" w:rsidRDefault="001A5E58">
      <w:pPr>
        <w:spacing w:after="0"/>
        <w:rPr>
          <w:i/>
          <w:sz w:val="20"/>
          <w:szCs w:val="20"/>
        </w:rPr>
      </w:pPr>
    </w:p>
  </w:footnote>
  <w:footnote w:id="14">
    <w:p w14:paraId="457C4E53" w14:textId="77777777" w:rsidR="001A5E58" w:rsidRDefault="00F84F72">
      <w:pPr>
        <w:spacing w:after="0"/>
        <w:rPr>
          <w:i/>
          <w:sz w:val="20"/>
          <w:szCs w:val="20"/>
        </w:rPr>
      </w:pPr>
      <w:r>
        <w:rPr>
          <w:vertAlign w:val="superscript"/>
        </w:rPr>
        <w:footnoteRef/>
      </w:r>
      <w:r>
        <w:rPr>
          <w:i/>
          <w:sz w:val="20"/>
          <w:szCs w:val="20"/>
        </w:rPr>
        <w:t xml:space="preserve"> Department for Energy Security and Net Zero, Annual fuel poverty statistics, 2024.</w:t>
      </w:r>
    </w:p>
  </w:footnote>
  <w:footnote w:id="15">
    <w:p w14:paraId="13CB0986" w14:textId="54710A91" w:rsidR="3C85173F" w:rsidRDefault="3C85173F" w:rsidP="3C85173F">
      <w:pPr>
        <w:pStyle w:val="FootnoteText"/>
        <w:rPr>
          <w:i/>
          <w:iCs/>
        </w:rPr>
      </w:pPr>
      <w:r w:rsidRPr="3C85173F">
        <w:rPr>
          <w:rStyle w:val="FootnoteReference"/>
          <w:i/>
          <w:iCs/>
        </w:rPr>
        <w:footnoteRef/>
      </w:r>
      <w:r w:rsidRPr="3C85173F">
        <w:rPr>
          <w:i/>
          <w:iCs/>
        </w:rPr>
        <w:t xml:space="preserve"> Independent Water Commission, Final report, June 2025.</w:t>
      </w:r>
    </w:p>
  </w:footnote>
  <w:footnote w:id="16">
    <w:p w14:paraId="4C438D26" w14:textId="41D1905C" w:rsidR="3C85173F" w:rsidRDefault="3C85173F" w:rsidP="3C85173F">
      <w:pPr>
        <w:pStyle w:val="FootnoteText"/>
      </w:pPr>
      <w:r w:rsidRPr="3C85173F">
        <w:rPr>
          <w:rStyle w:val="FootnoteReference"/>
        </w:rPr>
        <w:footnoteRef/>
      </w:r>
      <w:r>
        <w:t xml:space="preserve"> </w:t>
      </w:r>
      <w:r w:rsidRPr="00517404">
        <w:rPr>
          <w:i/>
          <w:iCs/>
        </w:rPr>
        <w:t>For example Centre for Sustainable Energy, Social tariffs – a solution to fuel poverty?, April 2006.</w:t>
      </w:r>
    </w:p>
  </w:footnote>
  <w:footnote w:id="17">
    <w:p w14:paraId="4CD5A5E9"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Department for Energy Security and Net Zero, Expanding the Warm Home Discount Scheme, 2025 to 2026: consultation document, February 2025.</w:t>
      </w:r>
    </w:p>
  </w:footnote>
  <w:footnote w:id="18">
    <w:p w14:paraId="3B4ABABB"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Department for Energy Security and Net Zero, Consultation outcome: Expanding the Warm Homes Discount Scheme, 2025 to 2026, June 2025</w:t>
      </w:r>
    </w:p>
  </w:footnote>
  <w:footnote w:id="19">
    <w:p w14:paraId="3CEA5EAB"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Department for Energy Security and Net Zero, Annual fuel poverty statistics, 2025</w:t>
      </w:r>
    </w:p>
  </w:footnote>
  <w:footnote w:id="20">
    <w:p w14:paraId="063E8B95" w14:textId="5E408557" w:rsidR="001A5E58" w:rsidRPr="00344BBB" w:rsidRDefault="00F84F72">
      <w:pPr>
        <w:spacing w:after="0"/>
        <w:rPr>
          <w:sz w:val="20"/>
          <w:szCs w:val="20"/>
        </w:rPr>
      </w:pPr>
      <w:r w:rsidRPr="00344BBB">
        <w:rPr>
          <w:vertAlign w:val="superscript"/>
        </w:rPr>
        <w:footnoteRef/>
      </w:r>
      <w:r w:rsidRPr="00344BBB">
        <w:rPr>
          <w:sz w:val="20"/>
          <w:szCs w:val="20"/>
        </w:rPr>
        <w:t xml:space="preserve"> I</w:t>
      </w:r>
      <w:r w:rsidR="00517404" w:rsidRPr="00344BBB">
        <w:rPr>
          <w:sz w:val="20"/>
          <w:szCs w:val="20"/>
        </w:rPr>
        <w:t xml:space="preserve">nstitute of </w:t>
      </w:r>
      <w:r w:rsidRPr="00344BBB">
        <w:rPr>
          <w:sz w:val="20"/>
          <w:szCs w:val="20"/>
        </w:rPr>
        <w:t>F</w:t>
      </w:r>
      <w:r w:rsidR="00517404" w:rsidRPr="00344BBB">
        <w:rPr>
          <w:sz w:val="20"/>
          <w:szCs w:val="20"/>
        </w:rPr>
        <w:t xml:space="preserve">iscal </w:t>
      </w:r>
      <w:r w:rsidRPr="00344BBB">
        <w:rPr>
          <w:sz w:val="20"/>
          <w:szCs w:val="20"/>
        </w:rPr>
        <w:t>S</w:t>
      </w:r>
      <w:r w:rsidR="00517404" w:rsidRPr="00344BBB">
        <w:rPr>
          <w:sz w:val="20"/>
          <w:szCs w:val="20"/>
        </w:rPr>
        <w:t>tudies</w:t>
      </w:r>
      <w:r w:rsidRPr="00344BBB">
        <w:rPr>
          <w:sz w:val="20"/>
          <w:szCs w:val="20"/>
        </w:rPr>
        <w:t>, Expanding Winter Fuel Payment eligibility, 2025.</w:t>
      </w:r>
    </w:p>
  </w:footnote>
  <w:footnote w:id="21">
    <w:p w14:paraId="287D9538" w14:textId="77777777" w:rsidR="001A5E58" w:rsidRDefault="00F84F72">
      <w:pPr>
        <w:spacing w:after="0"/>
        <w:rPr>
          <w:sz w:val="20"/>
          <w:szCs w:val="20"/>
        </w:rPr>
      </w:pPr>
      <w:r w:rsidRPr="00344BBB">
        <w:rPr>
          <w:vertAlign w:val="superscript"/>
        </w:rPr>
        <w:footnoteRef/>
      </w:r>
      <w:r w:rsidRPr="00344BBB">
        <w:rPr>
          <w:sz w:val="20"/>
          <w:szCs w:val="20"/>
        </w:rPr>
        <w:t xml:space="preserve"> The Guardian, Winter fuel payment cuts may force 100,000 pensioners below the poverty line, November 2024</w:t>
      </w:r>
    </w:p>
  </w:footnote>
  <w:footnote w:id="22">
    <w:p w14:paraId="74D240C2" w14:textId="77777777" w:rsidR="001A5E58" w:rsidRPr="00344BBB" w:rsidRDefault="00F84F72" w:rsidP="00344BBB">
      <w:pPr>
        <w:spacing w:after="160"/>
        <w:rPr>
          <w:sz w:val="20"/>
          <w:szCs w:val="20"/>
        </w:rPr>
      </w:pPr>
      <w:r w:rsidRPr="00344BBB">
        <w:rPr>
          <w:vertAlign w:val="superscript"/>
        </w:rPr>
        <w:footnoteRef/>
      </w:r>
      <w:r w:rsidRPr="00344BBB">
        <w:rPr>
          <w:sz w:val="20"/>
          <w:szCs w:val="20"/>
        </w:rPr>
        <w:t>The Social Market Foundation, Fairer, warmer, cheaper: New energy bill support policies to support British households in an age of high prices, March 2023</w:t>
      </w:r>
    </w:p>
  </w:footnote>
  <w:footnote w:id="23">
    <w:p w14:paraId="410B5441" w14:textId="77777777" w:rsidR="001A5E58" w:rsidRDefault="00F84F72" w:rsidP="00344BBB">
      <w:pPr>
        <w:spacing w:after="160"/>
        <w:rPr>
          <w:i/>
          <w:sz w:val="16"/>
          <w:szCs w:val="16"/>
        </w:rPr>
      </w:pPr>
      <w:r w:rsidRPr="00344BBB">
        <w:rPr>
          <w:vertAlign w:val="superscript"/>
        </w:rPr>
        <w:footnoteRef/>
      </w:r>
      <w:r w:rsidRPr="00344BBB">
        <w:rPr>
          <w:sz w:val="20"/>
          <w:szCs w:val="20"/>
        </w:rPr>
        <w:t>National Audit Office, Energy bills support: an update, November 2024</w:t>
      </w:r>
    </w:p>
  </w:footnote>
  <w:footnote w:id="24">
    <w:p w14:paraId="6AAC0C2A" w14:textId="17F52B95" w:rsidR="001A5E58" w:rsidRPr="00344BBB" w:rsidRDefault="00F84F72">
      <w:pPr>
        <w:spacing w:after="0"/>
        <w:rPr>
          <w:sz w:val="18"/>
          <w:szCs w:val="18"/>
        </w:rPr>
      </w:pPr>
      <w:r w:rsidRPr="00344BBB">
        <w:rPr>
          <w:vertAlign w:val="superscript"/>
        </w:rPr>
        <w:footnoteRef/>
      </w:r>
      <w:r w:rsidR="3C85173F" w:rsidRPr="00344BBB">
        <w:t xml:space="preserve"> </w:t>
      </w:r>
      <w:r w:rsidR="3C85173F" w:rsidRPr="00344BBB">
        <w:rPr>
          <w:sz w:val="20"/>
          <w:szCs w:val="20"/>
        </w:rPr>
        <w:t>Ofgem, Distributional impact of time of use tariffs, May 2017 in Ofgem, Market Half Hourly Settlement Final Impact Assessment, April 2021</w:t>
      </w:r>
    </w:p>
  </w:footnote>
  <w:footnote w:id="25">
    <w:p w14:paraId="655B9D31" w14:textId="77777777" w:rsidR="001A5E58" w:rsidRPr="00344BBB" w:rsidRDefault="00F84F72">
      <w:pPr>
        <w:spacing w:after="0"/>
        <w:rPr>
          <w:i/>
          <w:iCs/>
          <w:sz w:val="16"/>
          <w:szCs w:val="16"/>
        </w:rPr>
      </w:pPr>
      <w:r w:rsidRPr="00344BBB">
        <w:rPr>
          <w:i/>
          <w:iCs/>
          <w:vertAlign w:val="superscript"/>
        </w:rPr>
        <w:footnoteRef/>
      </w:r>
      <w:r w:rsidRPr="00344BBB">
        <w:rPr>
          <w:i/>
          <w:iCs/>
          <w:sz w:val="20"/>
          <w:szCs w:val="20"/>
        </w:rPr>
        <w:t xml:space="preserve"> Resolution Foundation, Sunny day savings, February 2025</w:t>
      </w:r>
    </w:p>
  </w:footnote>
  <w:footnote w:id="26">
    <w:p w14:paraId="06AA5D43"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Excluding PIP from income calculations. PIP is a benefit designed to help with the extra costs associated with a long-term health condition or disability. </w:t>
      </w:r>
    </w:p>
  </w:footnote>
  <w:footnote w:id="27">
    <w:p w14:paraId="50C87B80" w14:textId="745AD0FC" w:rsidR="001A5E58" w:rsidRDefault="00F84F72" w:rsidP="3C85173F">
      <w:pPr>
        <w:spacing w:after="0"/>
        <w:rPr>
          <w:i/>
          <w:iCs/>
          <w:sz w:val="20"/>
          <w:szCs w:val="20"/>
        </w:rPr>
      </w:pPr>
      <w:r w:rsidRPr="00344BBB">
        <w:rPr>
          <w:vertAlign w:val="superscript"/>
        </w:rPr>
        <w:footnoteRef/>
      </w:r>
      <w:r w:rsidR="3C85173F" w:rsidRPr="00344BBB">
        <w:rPr>
          <w:sz w:val="20"/>
          <w:szCs w:val="20"/>
        </w:rPr>
        <w:t xml:space="preserve"> Public First modelling includes benefits of Employment and Support Allowance, Personal Independence Payment, Disability Living Allowance, Carer’s Allowance and Attendance Allowance. Targeted support should also include devolved disability benefits of Adult Disability Payment, Pension Age Disability Payment, Carers Support Payment, and Child Support Payment.</w:t>
      </w:r>
    </w:p>
  </w:footnote>
  <w:footnote w:id="28">
    <w:p w14:paraId="3636C520"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Department for Energy Security and Net Zero, Fuel poverty statistics, England, 2024, March 2025</w:t>
      </w:r>
    </w:p>
  </w:footnote>
  <w:footnote w:id="29">
    <w:p w14:paraId="6E353E7B"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Figure 5 - Department for Energy Security and Net Zero, Fuel poverty statistics, England, 2024, March 2025</w:t>
      </w:r>
    </w:p>
  </w:footnote>
  <w:footnote w:id="30">
    <w:p w14:paraId="0BAAD711" w14:textId="77777777" w:rsidR="001A5E58" w:rsidRPr="00344BBB" w:rsidRDefault="00F84F72">
      <w:pPr>
        <w:spacing w:after="0"/>
        <w:rPr>
          <w:sz w:val="20"/>
          <w:szCs w:val="20"/>
        </w:rPr>
      </w:pPr>
      <w:r w:rsidRPr="00344BBB">
        <w:rPr>
          <w:vertAlign w:val="superscript"/>
        </w:rPr>
        <w:footnoteRef/>
      </w:r>
      <w:r w:rsidRPr="00344BBB">
        <w:rPr>
          <w:sz w:val="20"/>
          <w:szCs w:val="20"/>
        </w:rPr>
        <w:t xml:space="preserve"> The Social Market Foundation, Fairer, warmer, cheaper: New energy bill support policies to support British households in an age of high prices, March 2023</w:t>
      </w:r>
    </w:p>
  </w:footnote>
  <w:footnote w:id="31">
    <w:p w14:paraId="34096DAF" w14:textId="77777777" w:rsidR="001A5E58" w:rsidRDefault="00F84F72">
      <w:pPr>
        <w:spacing w:after="0"/>
        <w:rPr>
          <w:i/>
          <w:sz w:val="20"/>
          <w:szCs w:val="20"/>
        </w:rPr>
      </w:pPr>
      <w:r w:rsidRPr="00344BBB">
        <w:rPr>
          <w:vertAlign w:val="superscript"/>
        </w:rPr>
        <w:footnoteRef/>
      </w:r>
      <w:r w:rsidRPr="00344BBB">
        <w:rPr>
          <w:sz w:val="20"/>
          <w:szCs w:val="20"/>
        </w:rPr>
        <w:t xml:space="preserve"> The National Audit Office, Energy bills support: an update, November 2024</w:t>
      </w:r>
    </w:p>
  </w:footnote>
  <w:footnote w:id="32">
    <w:p w14:paraId="30176B74" w14:textId="79966818" w:rsidR="3C85173F" w:rsidRPr="00344BBB" w:rsidRDefault="3C85173F" w:rsidP="3C85173F">
      <w:pPr>
        <w:pStyle w:val="FootnoteText"/>
      </w:pPr>
      <w:r w:rsidRPr="00344BBB">
        <w:rPr>
          <w:rStyle w:val="FootnoteReference"/>
        </w:rPr>
        <w:footnoteRef/>
      </w:r>
      <w:r w:rsidRPr="00344BBB">
        <w:t xml:space="preserve"> Vulnerability Registration Services, 80% of UK adults have never heard of the Priority Services Register, new research reveals, March 2023.</w:t>
      </w:r>
    </w:p>
  </w:footnote>
  <w:footnote w:id="33">
    <w:p w14:paraId="26EBB6D7" w14:textId="15C02F4D" w:rsidR="3C85173F" w:rsidRDefault="3C85173F" w:rsidP="3C85173F">
      <w:pPr>
        <w:pStyle w:val="FootnoteText"/>
      </w:pPr>
      <w:r w:rsidRPr="3C85173F">
        <w:rPr>
          <w:rStyle w:val="FootnoteReference"/>
        </w:rPr>
        <w:footnoteRef/>
      </w:r>
      <w:r>
        <w:t xml:space="preserve"> </w:t>
      </w:r>
      <w:r w:rsidRPr="3C85173F">
        <w:rPr>
          <w:i/>
          <w:iCs/>
        </w:rPr>
        <w:t>Energy Systems Catapult, Warm Home Prescription recommended by 93% of health professionals in latest trial, September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36A59" w14:textId="77777777" w:rsidR="001A5E58" w:rsidRDefault="001A5E58"/>
</w:hdr>
</file>

<file path=word/intelligence2.xml><?xml version="1.0" encoding="utf-8"?>
<int2:intelligence xmlns:int2="http://schemas.microsoft.com/office/intelligence/2020/intelligence" xmlns:oel="http://schemas.microsoft.com/office/2019/extlst">
  <int2:observations>
    <int2:textHash int2:hashCode="XFdHSGaeZQehmT" int2:id="d7G490Uu">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6496"/>
    <w:multiLevelType w:val="multilevel"/>
    <w:tmpl w:val="45123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8519E"/>
    <w:multiLevelType w:val="multilevel"/>
    <w:tmpl w:val="A544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5729C"/>
    <w:multiLevelType w:val="hybridMultilevel"/>
    <w:tmpl w:val="6C208388"/>
    <w:lvl w:ilvl="0" w:tplc="614AC972">
      <w:start w:val="1"/>
      <w:numFmt w:val="bullet"/>
      <w:lvlText w:val="-"/>
      <w:lvlJc w:val="left"/>
      <w:pPr>
        <w:ind w:left="720" w:hanging="360"/>
      </w:pPr>
      <w:rPr>
        <w:rFonts w:ascii="Aptos" w:hAnsi="Aptos" w:hint="default"/>
      </w:rPr>
    </w:lvl>
    <w:lvl w:ilvl="1" w:tplc="C0F2BC54">
      <w:start w:val="1"/>
      <w:numFmt w:val="bullet"/>
      <w:lvlText w:val="o"/>
      <w:lvlJc w:val="left"/>
      <w:pPr>
        <w:ind w:left="1440" w:hanging="360"/>
      </w:pPr>
      <w:rPr>
        <w:rFonts w:ascii="Courier New" w:hAnsi="Courier New" w:hint="default"/>
      </w:rPr>
    </w:lvl>
    <w:lvl w:ilvl="2" w:tplc="5C56DAB0">
      <w:start w:val="1"/>
      <w:numFmt w:val="bullet"/>
      <w:lvlText w:val=""/>
      <w:lvlJc w:val="left"/>
      <w:pPr>
        <w:ind w:left="2160" w:hanging="360"/>
      </w:pPr>
      <w:rPr>
        <w:rFonts w:ascii="Wingdings" w:hAnsi="Wingdings" w:hint="default"/>
      </w:rPr>
    </w:lvl>
    <w:lvl w:ilvl="3" w:tplc="3C4EE06C">
      <w:start w:val="1"/>
      <w:numFmt w:val="bullet"/>
      <w:lvlText w:val=""/>
      <w:lvlJc w:val="left"/>
      <w:pPr>
        <w:ind w:left="2880" w:hanging="360"/>
      </w:pPr>
      <w:rPr>
        <w:rFonts w:ascii="Symbol" w:hAnsi="Symbol" w:hint="default"/>
      </w:rPr>
    </w:lvl>
    <w:lvl w:ilvl="4" w:tplc="50AC6E02">
      <w:start w:val="1"/>
      <w:numFmt w:val="bullet"/>
      <w:lvlText w:val="o"/>
      <w:lvlJc w:val="left"/>
      <w:pPr>
        <w:ind w:left="3600" w:hanging="360"/>
      </w:pPr>
      <w:rPr>
        <w:rFonts w:ascii="Courier New" w:hAnsi="Courier New" w:hint="default"/>
      </w:rPr>
    </w:lvl>
    <w:lvl w:ilvl="5" w:tplc="BF6E7DA0">
      <w:start w:val="1"/>
      <w:numFmt w:val="bullet"/>
      <w:lvlText w:val=""/>
      <w:lvlJc w:val="left"/>
      <w:pPr>
        <w:ind w:left="4320" w:hanging="360"/>
      </w:pPr>
      <w:rPr>
        <w:rFonts w:ascii="Wingdings" w:hAnsi="Wingdings" w:hint="default"/>
      </w:rPr>
    </w:lvl>
    <w:lvl w:ilvl="6" w:tplc="C4A4570A">
      <w:start w:val="1"/>
      <w:numFmt w:val="bullet"/>
      <w:lvlText w:val=""/>
      <w:lvlJc w:val="left"/>
      <w:pPr>
        <w:ind w:left="5040" w:hanging="360"/>
      </w:pPr>
      <w:rPr>
        <w:rFonts w:ascii="Symbol" w:hAnsi="Symbol" w:hint="default"/>
      </w:rPr>
    </w:lvl>
    <w:lvl w:ilvl="7" w:tplc="A6C8B5BC">
      <w:start w:val="1"/>
      <w:numFmt w:val="bullet"/>
      <w:lvlText w:val="o"/>
      <w:lvlJc w:val="left"/>
      <w:pPr>
        <w:ind w:left="5760" w:hanging="360"/>
      </w:pPr>
      <w:rPr>
        <w:rFonts w:ascii="Courier New" w:hAnsi="Courier New" w:hint="default"/>
      </w:rPr>
    </w:lvl>
    <w:lvl w:ilvl="8" w:tplc="641E66D4">
      <w:start w:val="1"/>
      <w:numFmt w:val="bullet"/>
      <w:lvlText w:val=""/>
      <w:lvlJc w:val="left"/>
      <w:pPr>
        <w:ind w:left="6480" w:hanging="360"/>
      </w:pPr>
      <w:rPr>
        <w:rFonts w:ascii="Wingdings" w:hAnsi="Wingdings" w:hint="default"/>
      </w:rPr>
    </w:lvl>
  </w:abstractNum>
  <w:abstractNum w:abstractNumId="3" w15:restartNumberingAfterBreak="0">
    <w:nsid w:val="0F6E33FF"/>
    <w:multiLevelType w:val="hybridMultilevel"/>
    <w:tmpl w:val="E45C1C64"/>
    <w:lvl w:ilvl="0" w:tplc="7EDA12B6">
      <w:start w:val="1"/>
      <w:numFmt w:val="bullet"/>
      <w:lvlText w:val=""/>
      <w:lvlJc w:val="left"/>
      <w:pPr>
        <w:ind w:left="720" w:hanging="360"/>
      </w:pPr>
      <w:rPr>
        <w:rFonts w:ascii="Symbol" w:hAnsi="Symbol" w:hint="default"/>
      </w:rPr>
    </w:lvl>
    <w:lvl w:ilvl="1" w:tplc="1E74C9A6">
      <w:start w:val="1"/>
      <w:numFmt w:val="bullet"/>
      <w:lvlText w:val="o"/>
      <w:lvlJc w:val="left"/>
      <w:pPr>
        <w:ind w:left="1440" w:hanging="360"/>
      </w:pPr>
      <w:rPr>
        <w:rFonts w:ascii="Courier New" w:hAnsi="Courier New" w:hint="default"/>
      </w:rPr>
    </w:lvl>
    <w:lvl w:ilvl="2" w:tplc="986013B4">
      <w:start w:val="1"/>
      <w:numFmt w:val="bullet"/>
      <w:lvlText w:val=""/>
      <w:lvlJc w:val="left"/>
      <w:pPr>
        <w:ind w:left="2160" w:hanging="360"/>
      </w:pPr>
      <w:rPr>
        <w:rFonts w:ascii="Wingdings" w:hAnsi="Wingdings" w:hint="default"/>
      </w:rPr>
    </w:lvl>
    <w:lvl w:ilvl="3" w:tplc="43CEB812">
      <w:start w:val="1"/>
      <w:numFmt w:val="bullet"/>
      <w:lvlText w:val=""/>
      <w:lvlJc w:val="left"/>
      <w:pPr>
        <w:ind w:left="2880" w:hanging="360"/>
      </w:pPr>
      <w:rPr>
        <w:rFonts w:ascii="Symbol" w:hAnsi="Symbol" w:hint="default"/>
      </w:rPr>
    </w:lvl>
    <w:lvl w:ilvl="4" w:tplc="2A4E3E6A">
      <w:start w:val="1"/>
      <w:numFmt w:val="bullet"/>
      <w:lvlText w:val="o"/>
      <w:lvlJc w:val="left"/>
      <w:pPr>
        <w:ind w:left="3600" w:hanging="360"/>
      </w:pPr>
      <w:rPr>
        <w:rFonts w:ascii="Courier New" w:hAnsi="Courier New" w:hint="default"/>
      </w:rPr>
    </w:lvl>
    <w:lvl w:ilvl="5" w:tplc="EDC2C020">
      <w:start w:val="1"/>
      <w:numFmt w:val="bullet"/>
      <w:lvlText w:val=""/>
      <w:lvlJc w:val="left"/>
      <w:pPr>
        <w:ind w:left="4320" w:hanging="360"/>
      </w:pPr>
      <w:rPr>
        <w:rFonts w:ascii="Wingdings" w:hAnsi="Wingdings" w:hint="default"/>
      </w:rPr>
    </w:lvl>
    <w:lvl w:ilvl="6" w:tplc="1C0C7828">
      <w:start w:val="1"/>
      <w:numFmt w:val="bullet"/>
      <w:lvlText w:val=""/>
      <w:lvlJc w:val="left"/>
      <w:pPr>
        <w:ind w:left="5040" w:hanging="360"/>
      </w:pPr>
      <w:rPr>
        <w:rFonts w:ascii="Symbol" w:hAnsi="Symbol" w:hint="default"/>
      </w:rPr>
    </w:lvl>
    <w:lvl w:ilvl="7" w:tplc="2A788BB6">
      <w:start w:val="1"/>
      <w:numFmt w:val="bullet"/>
      <w:lvlText w:val="o"/>
      <w:lvlJc w:val="left"/>
      <w:pPr>
        <w:ind w:left="5760" w:hanging="360"/>
      </w:pPr>
      <w:rPr>
        <w:rFonts w:ascii="Courier New" w:hAnsi="Courier New" w:hint="default"/>
      </w:rPr>
    </w:lvl>
    <w:lvl w:ilvl="8" w:tplc="66101360">
      <w:start w:val="1"/>
      <w:numFmt w:val="bullet"/>
      <w:lvlText w:val=""/>
      <w:lvlJc w:val="left"/>
      <w:pPr>
        <w:ind w:left="6480" w:hanging="360"/>
      </w:pPr>
      <w:rPr>
        <w:rFonts w:ascii="Wingdings" w:hAnsi="Wingdings" w:hint="default"/>
      </w:rPr>
    </w:lvl>
  </w:abstractNum>
  <w:abstractNum w:abstractNumId="4" w15:restartNumberingAfterBreak="0">
    <w:nsid w:val="182919B7"/>
    <w:multiLevelType w:val="multilevel"/>
    <w:tmpl w:val="5F9C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1D7EE1"/>
    <w:multiLevelType w:val="multilevel"/>
    <w:tmpl w:val="7B98F8A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07F1AD"/>
    <w:multiLevelType w:val="hybridMultilevel"/>
    <w:tmpl w:val="0F6279F6"/>
    <w:lvl w:ilvl="0" w:tplc="693485DC">
      <w:start w:val="1"/>
      <w:numFmt w:val="bullet"/>
      <w:lvlText w:val=""/>
      <w:lvlJc w:val="left"/>
      <w:pPr>
        <w:ind w:left="720" w:hanging="360"/>
      </w:pPr>
      <w:rPr>
        <w:rFonts w:ascii="Symbol" w:hAnsi="Symbol" w:hint="default"/>
      </w:rPr>
    </w:lvl>
    <w:lvl w:ilvl="1" w:tplc="B35C496A">
      <w:start w:val="1"/>
      <w:numFmt w:val="bullet"/>
      <w:lvlText w:val="o"/>
      <w:lvlJc w:val="left"/>
      <w:pPr>
        <w:ind w:left="1440" w:hanging="360"/>
      </w:pPr>
      <w:rPr>
        <w:rFonts w:ascii="Courier New" w:hAnsi="Courier New" w:hint="default"/>
      </w:rPr>
    </w:lvl>
    <w:lvl w:ilvl="2" w:tplc="E3D606A8">
      <w:start w:val="1"/>
      <w:numFmt w:val="bullet"/>
      <w:lvlText w:val=""/>
      <w:lvlJc w:val="left"/>
      <w:pPr>
        <w:ind w:left="2160" w:hanging="360"/>
      </w:pPr>
      <w:rPr>
        <w:rFonts w:ascii="Wingdings" w:hAnsi="Wingdings" w:hint="default"/>
      </w:rPr>
    </w:lvl>
    <w:lvl w:ilvl="3" w:tplc="DFCC2120">
      <w:start w:val="1"/>
      <w:numFmt w:val="bullet"/>
      <w:lvlText w:val=""/>
      <w:lvlJc w:val="left"/>
      <w:pPr>
        <w:ind w:left="2880" w:hanging="360"/>
      </w:pPr>
      <w:rPr>
        <w:rFonts w:ascii="Symbol" w:hAnsi="Symbol" w:hint="default"/>
      </w:rPr>
    </w:lvl>
    <w:lvl w:ilvl="4" w:tplc="08F4EE36">
      <w:start w:val="1"/>
      <w:numFmt w:val="bullet"/>
      <w:lvlText w:val="o"/>
      <w:lvlJc w:val="left"/>
      <w:pPr>
        <w:ind w:left="3600" w:hanging="360"/>
      </w:pPr>
      <w:rPr>
        <w:rFonts w:ascii="Courier New" w:hAnsi="Courier New" w:hint="default"/>
      </w:rPr>
    </w:lvl>
    <w:lvl w:ilvl="5" w:tplc="3F02C410">
      <w:start w:val="1"/>
      <w:numFmt w:val="bullet"/>
      <w:lvlText w:val=""/>
      <w:lvlJc w:val="left"/>
      <w:pPr>
        <w:ind w:left="4320" w:hanging="360"/>
      </w:pPr>
      <w:rPr>
        <w:rFonts w:ascii="Wingdings" w:hAnsi="Wingdings" w:hint="default"/>
      </w:rPr>
    </w:lvl>
    <w:lvl w:ilvl="6" w:tplc="2152BC42">
      <w:start w:val="1"/>
      <w:numFmt w:val="bullet"/>
      <w:lvlText w:val=""/>
      <w:lvlJc w:val="left"/>
      <w:pPr>
        <w:ind w:left="5040" w:hanging="360"/>
      </w:pPr>
      <w:rPr>
        <w:rFonts w:ascii="Symbol" w:hAnsi="Symbol" w:hint="default"/>
      </w:rPr>
    </w:lvl>
    <w:lvl w:ilvl="7" w:tplc="AE4644E0">
      <w:start w:val="1"/>
      <w:numFmt w:val="bullet"/>
      <w:lvlText w:val="o"/>
      <w:lvlJc w:val="left"/>
      <w:pPr>
        <w:ind w:left="5760" w:hanging="360"/>
      </w:pPr>
      <w:rPr>
        <w:rFonts w:ascii="Courier New" w:hAnsi="Courier New" w:hint="default"/>
      </w:rPr>
    </w:lvl>
    <w:lvl w:ilvl="8" w:tplc="C8FAA41A">
      <w:start w:val="1"/>
      <w:numFmt w:val="bullet"/>
      <w:lvlText w:val=""/>
      <w:lvlJc w:val="left"/>
      <w:pPr>
        <w:ind w:left="6480" w:hanging="360"/>
      </w:pPr>
      <w:rPr>
        <w:rFonts w:ascii="Wingdings" w:hAnsi="Wingdings" w:hint="default"/>
      </w:rPr>
    </w:lvl>
  </w:abstractNum>
  <w:abstractNum w:abstractNumId="7" w15:restartNumberingAfterBreak="0">
    <w:nsid w:val="24626EB7"/>
    <w:multiLevelType w:val="multilevel"/>
    <w:tmpl w:val="89D08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B32A5F"/>
    <w:multiLevelType w:val="multilevel"/>
    <w:tmpl w:val="744AB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CD512E"/>
    <w:multiLevelType w:val="multilevel"/>
    <w:tmpl w:val="43988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822888"/>
    <w:multiLevelType w:val="hybridMultilevel"/>
    <w:tmpl w:val="835257D6"/>
    <w:lvl w:ilvl="0" w:tplc="246A4E44">
      <w:start w:val="1"/>
      <w:numFmt w:val="decimal"/>
      <w:lvlText w:val="%1."/>
      <w:lvlJc w:val="left"/>
      <w:pPr>
        <w:ind w:left="720" w:hanging="360"/>
      </w:pPr>
    </w:lvl>
    <w:lvl w:ilvl="1" w:tplc="F2A89EB8">
      <w:start w:val="1"/>
      <w:numFmt w:val="lowerLetter"/>
      <w:lvlText w:val="%2."/>
      <w:lvlJc w:val="left"/>
      <w:pPr>
        <w:ind w:left="1440" w:hanging="360"/>
      </w:pPr>
    </w:lvl>
    <w:lvl w:ilvl="2" w:tplc="97CCD7C8">
      <w:start w:val="1"/>
      <w:numFmt w:val="lowerRoman"/>
      <w:lvlText w:val="%3."/>
      <w:lvlJc w:val="right"/>
      <w:pPr>
        <w:ind w:left="2160" w:hanging="180"/>
      </w:pPr>
    </w:lvl>
    <w:lvl w:ilvl="3" w:tplc="B118772A">
      <w:start w:val="1"/>
      <w:numFmt w:val="decimal"/>
      <w:lvlText w:val="%4."/>
      <w:lvlJc w:val="left"/>
      <w:pPr>
        <w:ind w:left="2880" w:hanging="360"/>
      </w:pPr>
    </w:lvl>
    <w:lvl w:ilvl="4" w:tplc="0E505720">
      <w:start w:val="1"/>
      <w:numFmt w:val="lowerLetter"/>
      <w:lvlText w:val="%5."/>
      <w:lvlJc w:val="left"/>
      <w:pPr>
        <w:ind w:left="3600" w:hanging="360"/>
      </w:pPr>
    </w:lvl>
    <w:lvl w:ilvl="5" w:tplc="E8209B46">
      <w:start w:val="1"/>
      <w:numFmt w:val="lowerRoman"/>
      <w:lvlText w:val="%6."/>
      <w:lvlJc w:val="right"/>
      <w:pPr>
        <w:ind w:left="4320" w:hanging="180"/>
      </w:pPr>
    </w:lvl>
    <w:lvl w:ilvl="6" w:tplc="67FEE296">
      <w:start w:val="1"/>
      <w:numFmt w:val="decimal"/>
      <w:lvlText w:val="%7."/>
      <w:lvlJc w:val="left"/>
      <w:pPr>
        <w:ind w:left="5040" w:hanging="360"/>
      </w:pPr>
    </w:lvl>
    <w:lvl w:ilvl="7" w:tplc="5132677C">
      <w:start w:val="1"/>
      <w:numFmt w:val="lowerLetter"/>
      <w:lvlText w:val="%8."/>
      <w:lvlJc w:val="left"/>
      <w:pPr>
        <w:ind w:left="5760" w:hanging="360"/>
      </w:pPr>
    </w:lvl>
    <w:lvl w:ilvl="8" w:tplc="9E7ECC18">
      <w:start w:val="1"/>
      <w:numFmt w:val="lowerRoman"/>
      <w:lvlText w:val="%9."/>
      <w:lvlJc w:val="right"/>
      <w:pPr>
        <w:ind w:left="6480" w:hanging="180"/>
      </w:pPr>
    </w:lvl>
  </w:abstractNum>
  <w:abstractNum w:abstractNumId="11" w15:restartNumberingAfterBreak="0">
    <w:nsid w:val="2A71268E"/>
    <w:multiLevelType w:val="hybridMultilevel"/>
    <w:tmpl w:val="E8DE34B4"/>
    <w:lvl w:ilvl="0" w:tplc="47285C58">
      <w:start w:val="1"/>
      <w:numFmt w:val="bullet"/>
      <w:lvlText w:val=""/>
      <w:lvlJc w:val="left"/>
      <w:pPr>
        <w:ind w:left="720" w:hanging="360"/>
      </w:pPr>
      <w:rPr>
        <w:rFonts w:ascii="Symbol" w:hAnsi="Symbol" w:hint="default"/>
      </w:rPr>
    </w:lvl>
    <w:lvl w:ilvl="1" w:tplc="F9F86B14">
      <w:start w:val="1"/>
      <w:numFmt w:val="bullet"/>
      <w:lvlText w:val="o"/>
      <w:lvlJc w:val="left"/>
      <w:pPr>
        <w:ind w:left="1440" w:hanging="360"/>
      </w:pPr>
      <w:rPr>
        <w:rFonts w:ascii="Courier New" w:hAnsi="Courier New" w:hint="default"/>
      </w:rPr>
    </w:lvl>
    <w:lvl w:ilvl="2" w:tplc="7AA0F2CA">
      <w:start w:val="1"/>
      <w:numFmt w:val="bullet"/>
      <w:lvlText w:val=""/>
      <w:lvlJc w:val="left"/>
      <w:pPr>
        <w:ind w:left="2160" w:hanging="360"/>
      </w:pPr>
      <w:rPr>
        <w:rFonts w:ascii="Wingdings" w:hAnsi="Wingdings" w:hint="default"/>
      </w:rPr>
    </w:lvl>
    <w:lvl w:ilvl="3" w:tplc="B458093C">
      <w:start w:val="1"/>
      <w:numFmt w:val="bullet"/>
      <w:lvlText w:val=""/>
      <w:lvlJc w:val="left"/>
      <w:pPr>
        <w:ind w:left="2880" w:hanging="360"/>
      </w:pPr>
      <w:rPr>
        <w:rFonts w:ascii="Symbol" w:hAnsi="Symbol" w:hint="default"/>
      </w:rPr>
    </w:lvl>
    <w:lvl w:ilvl="4" w:tplc="8BBAF5E0">
      <w:start w:val="1"/>
      <w:numFmt w:val="bullet"/>
      <w:lvlText w:val="o"/>
      <w:lvlJc w:val="left"/>
      <w:pPr>
        <w:ind w:left="3600" w:hanging="360"/>
      </w:pPr>
      <w:rPr>
        <w:rFonts w:ascii="Courier New" w:hAnsi="Courier New" w:hint="default"/>
      </w:rPr>
    </w:lvl>
    <w:lvl w:ilvl="5" w:tplc="20E41732">
      <w:start w:val="1"/>
      <w:numFmt w:val="bullet"/>
      <w:lvlText w:val=""/>
      <w:lvlJc w:val="left"/>
      <w:pPr>
        <w:ind w:left="4320" w:hanging="360"/>
      </w:pPr>
      <w:rPr>
        <w:rFonts w:ascii="Wingdings" w:hAnsi="Wingdings" w:hint="default"/>
      </w:rPr>
    </w:lvl>
    <w:lvl w:ilvl="6" w:tplc="1AAA368E">
      <w:start w:val="1"/>
      <w:numFmt w:val="bullet"/>
      <w:lvlText w:val=""/>
      <w:lvlJc w:val="left"/>
      <w:pPr>
        <w:ind w:left="5040" w:hanging="360"/>
      </w:pPr>
      <w:rPr>
        <w:rFonts w:ascii="Symbol" w:hAnsi="Symbol" w:hint="default"/>
      </w:rPr>
    </w:lvl>
    <w:lvl w:ilvl="7" w:tplc="4580D64E">
      <w:start w:val="1"/>
      <w:numFmt w:val="bullet"/>
      <w:lvlText w:val="o"/>
      <w:lvlJc w:val="left"/>
      <w:pPr>
        <w:ind w:left="5760" w:hanging="360"/>
      </w:pPr>
      <w:rPr>
        <w:rFonts w:ascii="Courier New" w:hAnsi="Courier New" w:hint="default"/>
      </w:rPr>
    </w:lvl>
    <w:lvl w:ilvl="8" w:tplc="070E026A">
      <w:start w:val="1"/>
      <w:numFmt w:val="bullet"/>
      <w:lvlText w:val=""/>
      <w:lvlJc w:val="left"/>
      <w:pPr>
        <w:ind w:left="6480" w:hanging="360"/>
      </w:pPr>
      <w:rPr>
        <w:rFonts w:ascii="Wingdings" w:hAnsi="Wingdings" w:hint="default"/>
      </w:rPr>
    </w:lvl>
  </w:abstractNum>
  <w:abstractNum w:abstractNumId="12" w15:restartNumberingAfterBreak="0">
    <w:nsid w:val="2A7D089F"/>
    <w:multiLevelType w:val="hybridMultilevel"/>
    <w:tmpl w:val="4FCCC268"/>
    <w:lvl w:ilvl="0" w:tplc="8236BDDA">
      <w:start w:val="1"/>
      <w:numFmt w:val="decimal"/>
      <w:lvlText w:val="%1."/>
      <w:lvlJc w:val="left"/>
      <w:pPr>
        <w:ind w:left="720" w:hanging="360"/>
      </w:pPr>
    </w:lvl>
    <w:lvl w:ilvl="1" w:tplc="C48A656A">
      <w:start w:val="1"/>
      <w:numFmt w:val="lowerLetter"/>
      <w:lvlText w:val="%2."/>
      <w:lvlJc w:val="left"/>
      <w:pPr>
        <w:ind w:left="1440" w:hanging="360"/>
      </w:pPr>
    </w:lvl>
    <w:lvl w:ilvl="2" w:tplc="09660CAA">
      <w:start w:val="1"/>
      <w:numFmt w:val="lowerRoman"/>
      <w:lvlText w:val="%3."/>
      <w:lvlJc w:val="right"/>
      <w:pPr>
        <w:ind w:left="2160" w:hanging="180"/>
      </w:pPr>
    </w:lvl>
    <w:lvl w:ilvl="3" w:tplc="1D8030FE">
      <w:start w:val="1"/>
      <w:numFmt w:val="decimal"/>
      <w:lvlText w:val="%4."/>
      <w:lvlJc w:val="left"/>
      <w:pPr>
        <w:ind w:left="2880" w:hanging="360"/>
      </w:pPr>
    </w:lvl>
    <w:lvl w:ilvl="4" w:tplc="E084D91E">
      <w:start w:val="1"/>
      <w:numFmt w:val="lowerLetter"/>
      <w:lvlText w:val="%5."/>
      <w:lvlJc w:val="left"/>
      <w:pPr>
        <w:ind w:left="3600" w:hanging="360"/>
      </w:pPr>
    </w:lvl>
    <w:lvl w:ilvl="5" w:tplc="EFB22E66">
      <w:start w:val="1"/>
      <w:numFmt w:val="lowerRoman"/>
      <w:lvlText w:val="%6."/>
      <w:lvlJc w:val="right"/>
      <w:pPr>
        <w:ind w:left="4320" w:hanging="180"/>
      </w:pPr>
    </w:lvl>
    <w:lvl w:ilvl="6" w:tplc="64989A60">
      <w:start w:val="1"/>
      <w:numFmt w:val="decimal"/>
      <w:lvlText w:val="%7."/>
      <w:lvlJc w:val="left"/>
      <w:pPr>
        <w:ind w:left="5040" w:hanging="360"/>
      </w:pPr>
    </w:lvl>
    <w:lvl w:ilvl="7" w:tplc="C2A8396C">
      <w:start w:val="1"/>
      <w:numFmt w:val="lowerLetter"/>
      <w:lvlText w:val="%8."/>
      <w:lvlJc w:val="left"/>
      <w:pPr>
        <w:ind w:left="5760" w:hanging="360"/>
      </w:pPr>
    </w:lvl>
    <w:lvl w:ilvl="8" w:tplc="701C5B72">
      <w:start w:val="1"/>
      <w:numFmt w:val="lowerRoman"/>
      <w:lvlText w:val="%9."/>
      <w:lvlJc w:val="right"/>
      <w:pPr>
        <w:ind w:left="6480" w:hanging="180"/>
      </w:pPr>
    </w:lvl>
  </w:abstractNum>
  <w:abstractNum w:abstractNumId="13" w15:restartNumberingAfterBreak="0">
    <w:nsid w:val="2F046DB3"/>
    <w:multiLevelType w:val="multilevel"/>
    <w:tmpl w:val="7B98F8A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EF30A4"/>
    <w:multiLevelType w:val="multilevel"/>
    <w:tmpl w:val="A6C2E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07E5026"/>
    <w:multiLevelType w:val="hybridMultilevel"/>
    <w:tmpl w:val="ADBA46CC"/>
    <w:lvl w:ilvl="0" w:tplc="79868C38">
      <w:start w:val="1"/>
      <w:numFmt w:val="bullet"/>
      <w:lvlText w:val=""/>
      <w:lvlJc w:val="left"/>
      <w:pPr>
        <w:ind w:left="360" w:hanging="360"/>
      </w:pPr>
      <w:rPr>
        <w:rFonts w:ascii="Symbol" w:hAnsi="Symbol" w:hint="default"/>
      </w:rPr>
    </w:lvl>
    <w:lvl w:ilvl="1" w:tplc="C0AC3D74">
      <w:start w:val="1"/>
      <w:numFmt w:val="bullet"/>
      <w:lvlText w:val="o"/>
      <w:lvlJc w:val="left"/>
      <w:pPr>
        <w:ind w:left="1080" w:hanging="360"/>
      </w:pPr>
      <w:rPr>
        <w:rFonts w:ascii="Courier New" w:hAnsi="Courier New" w:hint="default"/>
      </w:rPr>
    </w:lvl>
    <w:lvl w:ilvl="2" w:tplc="1072280C">
      <w:start w:val="1"/>
      <w:numFmt w:val="bullet"/>
      <w:lvlText w:val=""/>
      <w:lvlJc w:val="left"/>
      <w:pPr>
        <w:ind w:left="1800" w:hanging="360"/>
      </w:pPr>
      <w:rPr>
        <w:rFonts w:ascii="Wingdings" w:hAnsi="Wingdings" w:hint="default"/>
      </w:rPr>
    </w:lvl>
    <w:lvl w:ilvl="3" w:tplc="D29AD6AA">
      <w:start w:val="1"/>
      <w:numFmt w:val="bullet"/>
      <w:lvlText w:val=""/>
      <w:lvlJc w:val="left"/>
      <w:pPr>
        <w:ind w:left="2520" w:hanging="360"/>
      </w:pPr>
      <w:rPr>
        <w:rFonts w:ascii="Symbol" w:hAnsi="Symbol" w:hint="default"/>
      </w:rPr>
    </w:lvl>
    <w:lvl w:ilvl="4" w:tplc="F5E850F2">
      <w:start w:val="1"/>
      <w:numFmt w:val="bullet"/>
      <w:lvlText w:val="o"/>
      <w:lvlJc w:val="left"/>
      <w:pPr>
        <w:ind w:left="3240" w:hanging="360"/>
      </w:pPr>
      <w:rPr>
        <w:rFonts w:ascii="Courier New" w:hAnsi="Courier New" w:hint="default"/>
      </w:rPr>
    </w:lvl>
    <w:lvl w:ilvl="5" w:tplc="ACFCE6DA">
      <w:start w:val="1"/>
      <w:numFmt w:val="bullet"/>
      <w:lvlText w:val=""/>
      <w:lvlJc w:val="left"/>
      <w:pPr>
        <w:ind w:left="3960" w:hanging="360"/>
      </w:pPr>
      <w:rPr>
        <w:rFonts w:ascii="Wingdings" w:hAnsi="Wingdings" w:hint="default"/>
      </w:rPr>
    </w:lvl>
    <w:lvl w:ilvl="6" w:tplc="F6666570">
      <w:start w:val="1"/>
      <w:numFmt w:val="bullet"/>
      <w:lvlText w:val=""/>
      <w:lvlJc w:val="left"/>
      <w:pPr>
        <w:ind w:left="4680" w:hanging="360"/>
      </w:pPr>
      <w:rPr>
        <w:rFonts w:ascii="Symbol" w:hAnsi="Symbol" w:hint="default"/>
      </w:rPr>
    </w:lvl>
    <w:lvl w:ilvl="7" w:tplc="F5A09368">
      <w:start w:val="1"/>
      <w:numFmt w:val="bullet"/>
      <w:lvlText w:val="o"/>
      <w:lvlJc w:val="left"/>
      <w:pPr>
        <w:ind w:left="5400" w:hanging="360"/>
      </w:pPr>
      <w:rPr>
        <w:rFonts w:ascii="Courier New" w:hAnsi="Courier New" w:hint="default"/>
      </w:rPr>
    </w:lvl>
    <w:lvl w:ilvl="8" w:tplc="6B0AFF84">
      <w:start w:val="1"/>
      <w:numFmt w:val="bullet"/>
      <w:lvlText w:val=""/>
      <w:lvlJc w:val="left"/>
      <w:pPr>
        <w:ind w:left="6120" w:hanging="360"/>
      </w:pPr>
      <w:rPr>
        <w:rFonts w:ascii="Wingdings" w:hAnsi="Wingdings" w:hint="default"/>
      </w:rPr>
    </w:lvl>
  </w:abstractNum>
  <w:abstractNum w:abstractNumId="16" w15:restartNumberingAfterBreak="0">
    <w:nsid w:val="30CD6258"/>
    <w:multiLevelType w:val="multilevel"/>
    <w:tmpl w:val="067C3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3827F0"/>
    <w:multiLevelType w:val="multilevel"/>
    <w:tmpl w:val="CFE0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9A1D83"/>
    <w:multiLevelType w:val="hybridMultilevel"/>
    <w:tmpl w:val="CC7667E4"/>
    <w:lvl w:ilvl="0" w:tplc="FD34660C">
      <w:start w:val="1"/>
      <w:numFmt w:val="bullet"/>
      <w:lvlText w:val=""/>
      <w:lvlJc w:val="left"/>
      <w:pPr>
        <w:ind w:left="720" w:hanging="360"/>
      </w:pPr>
      <w:rPr>
        <w:rFonts w:ascii="Symbol" w:hAnsi="Symbol" w:hint="default"/>
      </w:rPr>
    </w:lvl>
    <w:lvl w:ilvl="1" w:tplc="347E3CF2">
      <w:start w:val="1"/>
      <w:numFmt w:val="bullet"/>
      <w:lvlText w:val="o"/>
      <w:lvlJc w:val="left"/>
      <w:pPr>
        <w:ind w:left="1440" w:hanging="360"/>
      </w:pPr>
      <w:rPr>
        <w:rFonts w:ascii="Courier New" w:hAnsi="Courier New" w:hint="default"/>
      </w:rPr>
    </w:lvl>
    <w:lvl w:ilvl="2" w:tplc="87E26766">
      <w:start w:val="1"/>
      <w:numFmt w:val="bullet"/>
      <w:lvlText w:val=""/>
      <w:lvlJc w:val="left"/>
      <w:pPr>
        <w:ind w:left="2160" w:hanging="360"/>
      </w:pPr>
      <w:rPr>
        <w:rFonts w:ascii="Wingdings" w:hAnsi="Wingdings" w:hint="default"/>
      </w:rPr>
    </w:lvl>
    <w:lvl w:ilvl="3" w:tplc="2D126C96">
      <w:start w:val="1"/>
      <w:numFmt w:val="bullet"/>
      <w:lvlText w:val=""/>
      <w:lvlJc w:val="left"/>
      <w:pPr>
        <w:ind w:left="2880" w:hanging="360"/>
      </w:pPr>
      <w:rPr>
        <w:rFonts w:ascii="Symbol" w:hAnsi="Symbol" w:hint="default"/>
      </w:rPr>
    </w:lvl>
    <w:lvl w:ilvl="4" w:tplc="3910AE9C">
      <w:start w:val="1"/>
      <w:numFmt w:val="bullet"/>
      <w:lvlText w:val="o"/>
      <w:lvlJc w:val="left"/>
      <w:pPr>
        <w:ind w:left="3600" w:hanging="360"/>
      </w:pPr>
      <w:rPr>
        <w:rFonts w:ascii="Courier New" w:hAnsi="Courier New" w:hint="default"/>
      </w:rPr>
    </w:lvl>
    <w:lvl w:ilvl="5" w:tplc="0378670A">
      <w:start w:val="1"/>
      <w:numFmt w:val="bullet"/>
      <w:lvlText w:val=""/>
      <w:lvlJc w:val="left"/>
      <w:pPr>
        <w:ind w:left="4320" w:hanging="360"/>
      </w:pPr>
      <w:rPr>
        <w:rFonts w:ascii="Wingdings" w:hAnsi="Wingdings" w:hint="default"/>
      </w:rPr>
    </w:lvl>
    <w:lvl w:ilvl="6" w:tplc="7FA0B9D2">
      <w:start w:val="1"/>
      <w:numFmt w:val="bullet"/>
      <w:lvlText w:val=""/>
      <w:lvlJc w:val="left"/>
      <w:pPr>
        <w:ind w:left="5040" w:hanging="360"/>
      </w:pPr>
      <w:rPr>
        <w:rFonts w:ascii="Symbol" w:hAnsi="Symbol" w:hint="default"/>
      </w:rPr>
    </w:lvl>
    <w:lvl w:ilvl="7" w:tplc="3FE231A2">
      <w:start w:val="1"/>
      <w:numFmt w:val="bullet"/>
      <w:lvlText w:val="o"/>
      <w:lvlJc w:val="left"/>
      <w:pPr>
        <w:ind w:left="5760" w:hanging="360"/>
      </w:pPr>
      <w:rPr>
        <w:rFonts w:ascii="Courier New" w:hAnsi="Courier New" w:hint="default"/>
      </w:rPr>
    </w:lvl>
    <w:lvl w:ilvl="8" w:tplc="8C4CCE0A">
      <w:start w:val="1"/>
      <w:numFmt w:val="bullet"/>
      <w:lvlText w:val=""/>
      <w:lvlJc w:val="left"/>
      <w:pPr>
        <w:ind w:left="6480" w:hanging="360"/>
      </w:pPr>
      <w:rPr>
        <w:rFonts w:ascii="Wingdings" w:hAnsi="Wingdings" w:hint="default"/>
      </w:rPr>
    </w:lvl>
  </w:abstractNum>
  <w:abstractNum w:abstractNumId="19" w15:restartNumberingAfterBreak="0">
    <w:nsid w:val="4DCC40C1"/>
    <w:multiLevelType w:val="multilevel"/>
    <w:tmpl w:val="C06E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F3359"/>
    <w:multiLevelType w:val="multilevel"/>
    <w:tmpl w:val="1CD80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303BBF"/>
    <w:multiLevelType w:val="multilevel"/>
    <w:tmpl w:val="7B98F8A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E11F7F"/>
    <w:multiLevelType w:val="multilevel"/>
    <w:tmpl w:val="F20448B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06D975E"/>
    <w:multiLevelType w:val="hybridMultilevel"/>
    <w:tmpl w:val="4788C29A"/>
    <w:lvl w:ilvl="0" w:tplc="0226A974">
      <w:start w:val="1"/>
      <w:numFmt w:val="decimal"/>
      <w:lvlText w:val="%1."/>
      <w:lvlJc w:val="left"/>
      <w:pPr>
        <w:ind w:left="720" w:hanging="360"/>
      </w:pPr>
    </w:lvl>
    <w:lvl w:ilvl="1" w:tplc="5D9ED37E">
      <w:start w:val="1"/>
      <w:numFmt w:val="lowerLetter"/>
      <w:lvlText w:val="%2."/>
      <w:lvlJc w:val="left"/>
      <w:pPr>
        <w:ind w:left="1440" w:hanging="360"/>
      </w:pPr>
    </w:lvl>
    <w:lvl w:ilvl="2" w:tplc="2A72C712">
      <w:start w:val="1"/>
      <w:numFmt w:val="lowerRoman"/>
      <w:lvlText w:val="%3."/>
      <w:lvlJc w:val="right"/>
      <w:pPr>
        <w:ind w:left="2160" w:hanging="180"/>
      </w:pPr>
    </w:lvl>
    <w:lvl w:ilvl="3" w:tplc="B7189666">
      <w:start w:val="1"/>
      <w:numFmt w:val="decimal"/>
      <w:lvlText w:val="%4."/>
      <w:lvlJc w:val="left"/>
      <w:pPr>
        <w:ind w:left="2880" w:hanging="360"/>
      </w:pPr>
    </w:lvl>
    <w:lvl w:ilvl="4" w:tplc="30662900">
      <w:start w:val="1"/>
      <w:numFmt w:val="lowerLetter"/>
      <w:lvlText w:val="%5."/>
      <w:lvlJc w:val="left"/>
      <w:pPr>
        <w:ind w:left="3600" w:hanging="360"/>
      </w:pPr>
    </w:lvl>
    <w:lvl w:ilvl="5" w:tplc="4BB0FB6E">
      <w:start w:val="1"/>
      <w:numFmt w:val="lowerRoman"/>
      <w:lvlText w:val="%6."/>
      <w:lvlJc w:val="right"/>
      <w:pPr>
        <w:ind w:left="4320" w:hanging="180"/>
      </w:pPr>
    </w:lvl>
    <w:lvl w:ilvl="6" w:tplc="605AEF7E">
      <w:start w:val="1"/>
      <w:numFmt w:val="decimal"/>
      <w:lvlText w:val="%7."/>
      <w:lvlJc w:val="left"/>
      <w:pPr>
        <w:ind w:left="5040" w:hanging="360"/>
      </w:pPr>
    </w:lvl>
    <w:lvl w:ilvl="7" w:tplc="5ED44CD8">
      <w:start w:val="1"/>
      <w:numFmt w:val="lowerLetter"/>
      <w:lvlText w:val="%8."/>
      <w:lvlJc w:val="left"/>
      <w:pPr>
        <w:ind w:left="5760" w:hanging="360"/>
      </w:pPr>
    </w:lvl>
    <w:lvl w:ilvl="8" w:tplc="596637C6">
      <w:start w:val="1"/>
      <w:numFmt w:val="lowerRoman"/>
      <w:lvlText w:val="%9."/>
      <w:lvlJc w:val="right"/>
      <w:pPr>
        <w:ind w:left="6480" w:hanging="180"/>
      </w:pPr>
    </w:lvl>
  </w:abstractNum>
  <w:abstractNum w:abstractNumId="24" w15:restartNumberingAfterBreak="0">
    <w:nsid w:val="516D1154"/>
    <w:multiLevelType w:val="multilevel"/>
    <w:tmpl w:val="E702C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736931"/>
    <w:multiLevelType w:val="multilevel"/>
    <w:tmpl w:val="7352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DC0CFD"/>
    <w:multiLevelType w:val="hybridMultilevel"/>
    <w:tmpl w:val="E8C6BBE4"/>
    <w:lvl w:ilvl="0" w:tplc="93D01F36">
      <w:start w:val="1"/>
      <w:numFmt w:val="bullet"/>
      <w:lvlText w:val="●"/>
      <w:lvlJc w:val="left"/>
      <w:pPr>
        <w:ind w:left="1080" w:hanging="360"/>
      </w:pPr>
      <w:rPr>
        <w:rFonts w:ascii="Symbol" w:hAnsi="Symbol" w:hint="default"/>
      </w:rPr>
    </w:lvl>
    <w:lvl w:ilvl="1" w:tplc="DCDC892C">
      <w:start w:val="1"/>
      <w:numFmt w:val="bullet"/>
      <w:lvlText w:val="o"/>
      <w:lvlJc w:val="left"/>
      <w:pPr>
        <w:ind w:left="1800" w:hanging="360"/>
      </w:pPr>
      <w:rPr>
        <w:rFonts w:ascii="Courier New" w:hAnsi="Courier New" w:hint="default"/>
      </w:rPr>
    </w:lvl>
    <w:lvl w:ilvl="2" w:tplc="D1623A58">
      <w:start w:val="1"/>
      <w:numFmt w:val="bullet"/>
      <w:lvlText w:val=""/>
      <w:lvlJc w:val="left"/>
      <w:pPr>
        <w:ind w:left="2520" w:hanging="360"/>
      </w:pPr>
      <w:rPr>
        <w:rFonts w:ascii="Wingdings" w:hAnsi="Wingdings" w:hint="default"/>
      </w:rPr>
    </w:lvl>
    <w:lvl w:ilvl="3" w:tplc="D3B8C60A">
      <w:start w:val="1"/>
      <w:numFmt w:val="bullet"/>
      <w:lvlText w:val=""/>
      <w:lvlJc w:val="left"/>
      <w:pPr>
        <w:ind w:left="3240" w:hanging="360"/>
      </w:pPr>
      <w:rPr>
        <w:rFonts w:ascii="Symbol" w:hAnsi="Symbol" w:hint="default"/>
      </w:rPr>
    </w:lvl>
    <w:lvl w:ilvl="4" w:tplc="DF30C536">
      <w:start w:val="1"/>
      <w:numFmt w:val="bullet"/>
      <w:lvlText w:val="o"/>
      <w:lvlJc w:val="left"/>
      <w:pPr>
        <w:ind w:left="3960" w:hanging="360"/>
      </w:pPr>
      <w:rPr>
        <w:rFonts w:ascii="Courier New" w:hAnsi="Courier New" w:hint="default"/>
      </w:rPr>
    </w:lvl>
    <w:lvl w:ilvl="5" w:tplc="3E84B85A">
      <w:start w:val="1"/>
      <w:numFmt w:val="bullet"/>
      <w:lvlText w:val=""/>
      <w:lvlJc w:val="left"/>
      <w:pPr>
        <w:ind w:left="4680" w:hanging="360"/>
      </w:pPr>
      <w:rPr>
        <w:rFonts w:ascii="Wingdings" w:hAnsi="Wingdings" w:hint="default"/>
      </w:rPr>
    </w:lvl>
    <w:lvl w:ilvl="6" w:tplc="ED2077CC">
      <w:start w:val="1"/>
      <w:numFmt w:val="bullet"/>
      <w:lvlText w:val=""/>
      <w:lvlJc w:val="left"/>
      <w:pPr>
        <w:ind w:left="5400" w:hanging="360"/>
      </w:pPr>
      <w:rPr>
        <w:rFonts w:ascii="Symbol" w:hAnsi="Symbol" w:hint="default"/>
      </w:rPr>
    </w:lvl>
    <w:lvl w:ilvl="7" w:tplc="47A61482">
      <w:start w:val="1"/>
      <w:numFmt w:val="bullet"/>
      <w:lvlText w:val="o"/>
      <w:lvlJc w:val="left"/>
      <w:pPr>
        <w:ind w:left="6120" w:hanging="360"/>
      </w:pPr>
      <w:rPr>
        <w:rFonts w:ascii="Courier New" w:hAnsi="Courier New" w:hint="default"/>
      </w:rPr>
    </w:lvl>
    <w:lvl w:ilvl="8" w:tplc="0812FD32">
      <w:start w:val="1"/>
      <w:numFmt w:val="bullet"/>
      <w:lvlText w:val=""/>
      <w:lvlJc w:val="left"/>
      <w:pPr>
        <w:ind w:left="6840" w:hanging="360"/>
      </w:pPr>
      <w:rPr>
        <w:rFonts w:ascii="Wingdings" w:hAnsi="Wingdings" w:hint="default"/>
      </w:rPr>
    </w:lvl>
  </w:abstractNum>
  <w:abstractNum w:abstractNumId="27" w15:restartNumberingAfterBreak="0">
    <w:nsid w:val="58511EFA"/>
    <w:multiLevelType w:val="hybridMultilevel"/>
    <w:tmpl w:val="6346C982"/>
    <w:lvl w:ilvl="0" w:tplc="FF782306">
      <w:start w:val="1"/>
      <w:numFmt w:val="decimal"/>
      <w:lvlText w:val="%1."/>
      <w:lvlJc w:val="left"/>
      <w:pPr>
        <w:ind w:left="720" w:hanging="360"/>
      </w:pPr>
    </w:lvl>
    <w:lvl w:ilvl="1" w:tplc="13285302">
      <w:start w:val="1"/>
      <w:numFmt w:val="lowerLetter"/>
      <w:lvlText w:val="%2."/>
      <w:lvlJc w:val="left"/>
      <w:pPr>
        <w:ind w:left="1440" w:hanging="360"/>
      </w:pPr>
    </w:lvl>
    <w:lvl w:ilvl="2" w:tplc="00787958">
      <w:start w:val="1"/>
      <w:numFmt w:val="lowerRoman"/>
      <w:lvlText w:val="%3."/>
      <w:lvlJc w:val="right"/>
      <w:pPr>
        <w:ind w:left="2160" w:hanging="180"/>
      </w:pPr>
    </w:lvl>
    <w:lvl w:ilvl="3" w:tplc="A4F2457A">
      <w:start w:val="1"/>
      <w:numFmt w:val="decimal"/>
      <w:lvlText w:val="%4."/>
      <w:lvlJc w:val="left"/>
      <w:pPr>
        <w:ind w:left="2880" w:hanging="360"/>
      </w:pPr>
    </w:lvl>
    <w:lvl w:ilvl="4" w:tplc="AEDA4C3C">
      <w:start w:val="1"/>
      <w:numFmt w:val="lowerLetter"/>
      <w:lvlText w:val="%5."/>
      <w:lvlJc w:val="left"/>
      <w:pPr>
        <w:ind w:left="3600" w:hanging="360"/>
      </w:pPr>
    </w:lvl>
    <w:lvl w:ilvl="5" w:tplc="F5B26D56">
      <w:start w:val="1"/>
      <w:numFmt w:val="lowerRoman"/>
      <w:lvlText w:val="%6."/>
      <w:lvlJc w:val="right"/>
      <w:pPr>
        <w:ind w:left="4320" w:hanging="180"/>
      </w:pPr>
    </w:lvl>
    <w:lvl w:ilvl="6" w:tplc="E46A6452">
      <w:start w:val="1"/>
      <w:numFmt w:val="decimal"/>
      <w:lvlText w:val="%7."/>
      <w:lvlJc w:val="left"/>
      <w:pPr>
        <w:ind w:left="5040" w:hanging="360"/>
      </w:pPr>
    </w:lvl>
    <w:lvl w:ilvl="7" w:tplc="21D2FCA2">
      <w:start w:val="1"/>
      <w:numFmt w:val="lowerLetter"/>
      <w:lvlText w:val="%8."/>
      <w:lvlJc w:val="left"/>
      <w:pPr>
        <w:ind w:left="5760" w:hanging="360"/>
      </w:pPr>
    </w:lvl>
    <w:lvl w:ilvl="8" w:tplc="7AA44642">
      <w:start w:val="1"/>
      <w:numFmt w:val="lowerRoman"/>
      <w:lvlText w:val="%9."/>
      <w:lvlJc w:val="right"/>
      <w:pPr>
        <w:ind w:left="6480" w:hanging="180"/>
      </w:pPr>
    </w:lvl>
  </w:abstractNum>
  <w:abstractNum w:abstractNumId="28" w15:restartNumberingAfterBreak="0">
    <w:nsid w:val="5932C162"/>
    <w:multiLevelType w:val="hybridMultilevel"/>
    <w:tmpl w:val="3F92390C"/>
    <w:lvl w:ilvl="0" w:tplc="CBFE6068">
      <w:start w:val="1"/>
      <w:numFmt w:val="bullet"/>
      <w:lvlText w:val=""/>
      <w:lvlJc w:val="left"/>
      <w:pPr>
        <w:ind w:left="720" w:hanging="360"/>
      </w:pPr>
      <w:rPr>
        <w:rFonts w:ascii="Symbol" w:hAnsi="Symbol" w:hint="default"/>
      </w:rPr>
    </w:lvl>
    <w:lvl w:ilvl="1" w:tplc="FA760758">
      <w:start w:val="1"/>
      <w:numFmt w:val="bullet"/>
      <w:lvlText w:val="o"/>
      <w:lvlJc w:val="left"/>
      <w:pPr>
        <w:ind w:left="1440" w:hanging="360"/>
      </w:pPr>
      <w:rPr>
        <w:rFonts w:ascii="Courier New" w:hAnsi="Courier New" w:hint="default"/>
      </w:rPr>
    </w:lvl>
    <w:lvl w:ilvl="2" w:tplc="33BAB582">
      <w:start w:val="1"/>
      <w:numFmt w:val="bullet"/>
      <w:lvlText w:val=""/>
      <w:lvlJc w:val="left"/>
      <w:pPr>
        <w:ind w:left="2160" w:hanging="360"/>
      </w:pPr>
      <w:rPr>
        <w:rFonts w:ascii="Wingdings" w:hAnsi="Wingdings" w:hint="default"/>
      </w:rPr>
    </w:lvl>
    <w:lvl w:ilvl="3" w:tplc="EDFEC08E">
      <w:start w:val="1"/>
      <w:numFmt w:val="bullet"/>
      <w:lvlText w:val=""/>
      <w:lvlJc w:val="left"/>
      <w:pPr>
        <w:ind w:left="2880" w:hanging="360"/>
      </w:pPr>
      <w:rPr>
        <w:rFonts w:ascii="Symbol" w:hAnsi="Symbol" w:hint="default"/>
      </w:rPr>
    </w:lvl>
    <w:lvl w:ilvl="4" w:tplc="95AA2586">
      <w:start w:val="1"/>
      <w:numFmt w:val="bullet"/>
      <w:lvlText w:val="o"/>
      <w:lvlJc w:val="left"/>
      <w:pPr>
        <w:ind w:left="3600" w:hanging="360"/>
      </w:pPr>
      <w:rPr>
        <w:rFonts w:ascii="Courier New" w:hAnsi="Courier New" w:hint="default"/>
      </w:rPr>
    </w:lvl>
    <w:lvl w:ilvl="5" w:tplc="D0E0AFDA">
      <w:start w:val="1"/>
      <w:numFmt w:val="bullet"/>
      <w:lvlText w:val=""/>
      <w:lvlJc w:val="left"/>
      <w:pPr>
        <w:ind w:left="4320" w:hanging="360"/>
      </w:pPr>
      <w:rPr>
        <w:rFonts w:ascii="Wingdings" w:hAnsi="Wingdings" w:hint="default"/>
      </w:rPr>
    </w:lvl>
    <w:lvl w:ilvl="6" w:tplc="CF628A38">
      <w:start w:val="1"/>
      <w:numFmt w:val="bullet"/>
      <w:lvlText w:val=""/>
      <w:lvlJc w:val="left"/>
      <w:pPr>
        <w:ind w:left="5040" w:hanging="360"/>
      </w:pPr>
      <w:rPr>
        <w:rFonts w:ascii="Symbol" w:hAnsi="Symbol" w:hint="default"/>
      </w:rPr>
    </w:lvl>
    <w:lvl w:ilvl="7" w:tplc="16F410AE">
      <w:start w:val="1"/>
      <w:numFmt w:val="bullet"/>
      <w:lvlText w:val="o"/>
      <w:lvlJc w:val="left"/>
      <w:pPr>
        <w:ind w:left="5760" w:hanging="360"/>
      </w:pPr>
      <w:rPr>
        <w:rFonts w:ascii="Courier New" w:hAnsi="Courier New" w:hint="default"/>
      </w:rPr>
    </w:lvl>
    <w:lvl w:ilvl="8" w:tplc="3F948FF0">
      <w:start w:val="1"/>
      <w:numFmt w:val="bullet"/>
      <w:lvlText w:val=""/>
      <w:lvlJc w:val="left"/>
      <w:pPr>
        <w:ind w:left="6480" w:hanging="360"/>
      </w:pPr>
      <w:rPr>
        <w:rFonts w:ascii="Wingdings" w:hAnsi="Wingdings" w:hint="default"/>
      </w:rPr>
    </w:lvl>
  </w:abstractNum>
  <w:abstractNum w:abstractNumId="29" w15:restartNumberingAfterBreak="0">
    <w:nsid w:val="597A58CF"/>
    <w:multiLevelType w:val="multilevel"/>
    <w:tmpl w:val="A9F8226C"/>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B48310B"/>
    <w:multiLevelType w:val="multilevel"/>
    <w:tmpl w:val="8466A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784C0B"/>
    <w:multiLevelType w:val="multilevel"/>
    <w:tmpl w:val="F4120B3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FBA35F6"/>
    <w:multiLevelType w:val="multilevel"/>
    <w:tmpl w:val="A4D0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FD5EC6"/>
    <w:multiLevelType w:val="multilevel"/>
    <w:tmpl w:val="9F76057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4" w15:restartNumberingAfterBreak="0">
    <w:nsid w:val="6FB11820"/>
    <w:multiLevelType w:val="multilevel"/>
    <w:tmpl w:val="7B98F8A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B742BE"/>
    <w:multiLevelType w:val="multilevel"/>
    <w:tmpl w:val="46547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EB46C4"/>
    <w:multiLevelType w:val="multilevel"/>
    <w:tmpl w:val="2746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A0DB46"/>
    <w:multiLevelType w:val="hybridMultilevel"/>
    <w:tmpl w:val="88466A12"/>
    <w:lvl w:ilvl="0" w:tplc="A6FC86E4">
      <w:start w:val="1"/>
      <w:numFmt w:val="bullet"/>
      <w:lvlText w:val="-"/>
      <w:lvlJc w:val="left"/>
      <w:pPr>
        <w:ind w:left="720" w:hanging="360"/>
      </w:pPr>
      <w:rPr>
        <w:rFonts w:ascii="Aptos" w:hAnsi="Aptos" w:hint="default"/>
      </w:rPr>
    </w:lvl>
    <w:lvl w:ilvl="1" w:tplc="6D143314">
      <w:start w:val="1"/>
      <w:numFmt w:val="bullet"/>
      <w:lvlText w:val="o"/>
      <w:lvlJc w:val="left"/>
      <w:pPr>
        <w:ind w:left="1440" w:hanging="360"/>
      </w:pPr>
      <w:rPr>
        <w:rFonts w:ascii="Courier New" w:hAnsi="Courier New" w:hint="default"/>
      </w:rPr>
    </w:lvl>
    <w:lvl w:ilvl="2" w:tplc="F61C13A0">
      <w:start w:val="1"/>
      <w:numFmt w:val="bullet"/>
      <w:lvlText w:val=""/>
      <w:lvlJc w:val="left"/>
      <w:pPr>
        <w:ind w:left="2160" w:hanging="360"/>
      </w:pPr>
      <w:rPr>
        <w:rFonts w:ascii="Wingdings" w:hAnsi="Wingdings" w:hint="default"/>
      </w:rPr>
    </w:lvl>
    <w:lvl w:ilvl="3" w:tplc="23FE2374">
      <w:start w:val="1"/>
      <w:numFmt w:val="bullet"/>
      <w:lvlText w:val=""/>
      <w:lvlJc w:val="left"/>
      <w:pPr>
        <w:ind w:left="2880" w:hanging="360"/>
      </w:pPr>
      <w:rPr>
        <w:rFonts w:ascii="Symbol" w:hAnsi="Symbol" w:hint="default"/>
      </w:rPr>
    </w:lvl>
    <w:lvl w:ilvl="4" w:tplc="60E0FB16">
      <w:start w:val="1"/>
      <w:numFmt w:val="bullet"/>
      <w:lvlText w:val="o"/>
      <w:lvlJc w:val="left"/>
      <w:pPr>
        <w:ind w:left="3600" w:hanging="360"/>
      </w:pPr>
      <w:rPr>
        <w:rFonts w:ascii="Courier New" w:hAnsi="Courier New" w:hint="default"/>
      </w:rPr>
    </w:lvl>
    <w:lvl w:ilvl="5" w:tplc="307C4FE2">
      <w:start w:val="1"/>
      <w:numFmt w:val="bullet"/>
      <w:lvlText w:val=""/>
      <w:lvlJc w:val="left"/>
      <w:pPr>
        <w:ind w:left="4320" w:hanging="360"/>
      </w:pPr>
      <w:rPr>
        <w:rFonts w:ascii="Wingdings" w:hAnsi="Wingdings" w:hint="default"/>
      </w:rPr>
    </w:lvl>
    <w:lvl w:ilvl="6" w:tplc="DF869C58">
      <w:start w:val="1"/>
      <w:numFmt w:val="bullet"/>
      <w:lvlText w:val=""/>
      <w:lvlJc w:val="left"/>
      <w:pPr>
        <w:ind w:left="5040" w:hanging="360"/>
      </w:pPr>
      <w:rPr>
        <w:rFonts w:ascii="Symbol" w:hAnsi="Symbol" w:hint="default"/>
      </w:rPr>
    </w:lvl>
    <w:lvl w:ilvl="7" w:tplc="6DE8B502">
      <w:start w:val="1"/>
      <w:numFmt w:val="bullet"/>
      <w:lvlText w:val="o"/>
      <w:lvlJc w:val="left"/>
      <w:pPr>
        <w:ind w:left="5760" w:hanging="360"/>
      </w:pPr>
      <w:rPr>
        <w:rFonts w:ascii="Courier New" w:hAnsi="Courier New" w:hint="default"/>
      </w:rPr>
    </w:lvl>
    <w:lvl w:ilvl="8" w:tplc="7FC66182">
      <w:start w:val="1"/>
      <w:numFmt w:val="bullet"/>
      <w:lvlText w:val=""/>
      <w:lvlJc w:val="left"/>
      <w:pPr>
        <w:ind w:left="6480" w:hanging="360"/>
      </w:pPr>
      <w:rPr>
        <w:rFonts w:ascii="Wingdings" w:hAnsi="Wingdings" w:hint="default"/>
      </w:rPr>
    </w:lvl>
  </w:abstractNum>
  <w:abstractNum w:abstractNumId="38" w15:restartNumberingAfterBreak="0">
    <w:nsid w:val="77CA60A2"/>
    <w:multiLevelType w:val="multilevel"/>
    <w:tmpl w:val="E9F62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814DE32"/>
    <w:multiLevelType w:val="hybridMultilevel"/>
    <w:tmpl w:val="F85EC76E"/>
    <w:lvl w:ilvl="0" w:tplc="469C3A54">
      <w:start w:val="1"/>
      <w:numFmt w:val="decimal"/>
      <w:lvlText w:val="%1."/>
      <w:lvlJc w:val="left"/>
      <w:pPr>
        <w:ind w:left="720" w:hanging="360"/>
      </w:pPr>
    </w:lvl>
    <w:lvl w:ilvl="1" w:tplc="0F94E554">
      <w:start w:val="1"/>
      <w:numFmt w:val="lowerLetter"/>
      <w:lvlText w:val="%2."/>
      <w:lvlJc w:val="left"/>
      <w:pPr>
        <w:ind w:left="1440" w:hanging="360"/>
      </w:pPr>
    </w:lvl>
    <w:lvl w:ilvl="2" w:tplc="48660626">
      <w:start w:val="1"/>
      <w:numFmt w:val="lowerRoman"/>
      <w:lvlText w:val="%3."/>
      <w:lvlJc w:val="right"/>
      <w:pPr>
        <w:ind w:left="2160" w:hanging="180"/>
      </w:pPr>
    </w:lvl>
    <w:lvl w:ilvl="3" w:tplc="3C3089D0">
      <w:start w:val="1"/>
      <w:numFmt w:val="decimal"/>
      <w:lvlText w:val="%4."/>
      <w:lvlJc w:val="left"/>
      <w:pPr>
        <w:ind w:left="2880" w:hanging="360"/>
      </w:pPr>
    </w:lvl>
    <w:lvl w:ilvl="4" w:tplc="5A10916E">
      <w:start w:val="1"/>
      <w:numFmt w:val="lowerLetter"/>
      <w:lvlText w:val="%5."/>
      <w:lvlJc w:val="left"/>
      <w:pPr>
        <w:ind w:left="3600" w:hanging="360"/>
      </w:pPr>
    </w:lvl>
    <w:lvl w:ilvl="5" w:tplc="D3BA2150">
      <w:start w:val="1"/>
      <w:numFmt w:val="lowerRoman"/>
      <w:lvlText w:val="%6."/>
      <w:lvlJc w:val="right"/>
      <w:pPr>
        <w:ind w:left="4320" w:hanging="180"/>
      </w:pPr>
    </w:lvl>
    <w:lvl w:ilvl="6" w:tplc="5B309CC4">
      <w:start w:val="1"/>
      <w:numFmt w:val="decimal"/>
      <w:lvlText w:val="%7."/>
      <w:lvlJc w:val="left"/>
      <w:pPr>
        <w:ind w:left="5040" w:hanging="360"/>
      </w:pPr>
    </w:lvl>
    <w:lvl w:ilvl="7" w:tplc="89EED070">
      <w:start w:val="1"/>
      <w:numFmt w:val="lowerLetter"/>
      <w:lvlText w:val="%8."/>
      <w:lvlJc w:val="left"/>
      <w:pPr>
        <w:ind w:left="5760" w:hanging="360"/>
      </w:pPr>
    </w:lvl>
    <w:lvl w:ilvl="8" w:tplc="188E78EC">
      <w:start w:val="1"/>
      <w:numFmt w:val="lowerRoman"/>
      <w:lvlText w:val="%9."/>
      <w:lvlJc w:val="right"/>
      <w:pPr>
        <w:ind w:left="6480" w:hanging="180"/>
      </w:pPr>
    </w:lvl>
  </w:abstractNum>
  <w:abstractNum w:abstractNumId="40" w15:restartNumberingAfterBreak="0">
    <w:nsid w:val="7B3B3531"/>
    <w:multiLevelType w:val="hybridMultilevel"/>
    <w:tmpl w:val="13B098CE"/>
    <w:lvl w:ilvl="0" w:tplc="BD98110C">
      <w:start w:val="1"/>
      <w:numFmt w:val="bullet"/>
      <w:lvlText w:val=""/>
      <w:lvlJc w:val="left"/>
      <w:pPr>
        <w:ind w:left="720" w:hanging="360"/>
      </w:pPr>
      <w:rPr>
        <w:rFonts w:ascii="Symbol" w:hAnsi="Symbol" w:hint="default"/>
      </w:rPr>
    </w:lvl>
    <w:lvl w:ilvl="1" w:tplc="54A010A6">
      <w:start w:val="1"/>
      <w:numFmt w:val="bullet"/>
      <w:lvlText w:val="o"/>
      <w:lvlJc w:val="left"/>
      <w:pPr>
        <w:ind w:left="1440" w:hanging="360"/>
      </w:pPr>
      <w:rPr>
        <w:rFonts w:ascii="Courier New" w:hAnsi="Courier New" w:hint="default"/>
      </w:rPr>
    </w:lvl>
    <w:lvl w:ilvl="2" w:tplc="278A3F08">
      <w:start w:val="1"/>
      <w:numFmt w:val="bullet"/>
      <w:lvlText w:val=""/>
      <w:lvlJc w:val="left"/>
      <w:pPr>
        <w:ind w:left="2160" w:hanging="360"/>
      </w:pPr>
      <w:rPr>
        <w:rFonts w:ascii="Wingdings" w:hAnsi="Wingdings" w:hint="default"/>
      </w:rPr>
    </w:lvl>
    <w:lvl w:ilvl="3" w:tplc="756889A8">
      <w:start w:val="1"/>
      <w:numFmt w:val="bullet"/>
      <w:lvlText w:val=""/>
      <w:lvlJc w:val="left"/>
      <w:pPr>
        <w:ind w:left="2880" w:hanging="360"/>
      </w:pPr>
      <w:rPr>
        <w:rFonts w:ascii="Symbol" w:hAnsi="Symbol" w:hint="default"/>
      </w:rPr>
    </w:lvl>
    <w:lvl w:ilvl="4" w:tplc="53FA02A4">
      <w:start w:val="1"/>
      <w:numFmt w:val="bullet"/>
      <w:lvlText w:val="o"/>
      <w:lvlJc w:val="left"/>
      <w:pPr>
        <w:ind w:left="3600" w:hanging="360"/>
      </w:pPr>
      <w:rPr>
        <w:rFonts w:ascii="Courier New" w:hAnsi="Courier New" w:hint="default"/>
      </w:rPr>
    </w:lvl>
    <w:lvl w:ilvl="5" w:tplc="A274A95C">
      <w:start w:val="1"/>
      <w:numFmt w:val="bullet"/>
      <w:lvlText w:val=""/>
      <w:lvlJc w:val="left"/>
      <w:pPr>
        <w:ind w:left="4320" w:hanging="360"/>
      </w:pPr>
      <w:rPr>
        <w:rFonts w:ascii="Wingdings" w:hAnsi="Wingdings" w:hint="default"/>
      </w:rPr>
    </w:lvl>
    <w:lvl w:ilvl="6" w:tplc="DB9C78C2">
      <w:start w:val="1"/>
      <w:numFmt w:val="bullet"/>
      <w:lvlText w:val=""/>
      <w:lvlJc w:val="left"/>
      <w:pPr>
        <w:ind w:left="5040" w:hanging="360"/>
      </w:pPr>
      <w:rPr>
        <w:rFonts w:ascii="Symbol" w:hAnsi="Symbol" w:hint="default"/>
      </w:rPr>
    </w:lvl>
    <w:lvl w:ilvl="7" w:tplc="259407CE">
      <w:start w:val="1"/>
      <w:numFmt w:val="bullet"/>
      <w:lvlText w:val="o"/>
      <w:lvlJc w:val="left"/>
      <w:pPr>
        <w:ind w:left="5760" w:hanging="360"/>
      </w:pPr>
      <w:rPr>
        <w:rFonts w:ascii="Courier New" w:hAnsi="Courier New" w:hint="default"/>
      </w:rPr>
    </w:lvl>
    <w:lvl w:ilvl="8" w:tplc="C47AF97C">
      <w:start w:val="1"/>
      <w:numFmt w:val="bullet"/>
      <w:lvlText w:val=""/>
      <w:lvlJc w:val="left"/>
      <w:pPr>
        <w:ind w:left="6480" w:hanging="360"/>
      </w:pPr>
      <w:rPr>
        <w:rFonts w:ascii="Wingdings" w:hAnsi="Wingdings" w:hint="default"/>
      </w:rPr>
    </w:lvl>
  </w:abstractNum>
  <w:abstractNum w:abstractNumId="41" w15:restartNumberingAfterBreak="0">
    <w:nsid w:val="7D0F375F"/>
    <w:multiLevelType w:val="hybridMultilevel"/>
    <w:tmpl w:val="834C753E"/>
    <w:lvl w:ilvl="0" w:tplc="65C470D2">
      <w:start w:val="1"/>
      <w:numFmt w:val="bullet"/>
      <w:lvlText w:val=""/>
      <w:lvlJc w:val="left"/>
      <w:pPr>
        <w:ind w:left="720" w:hanging="360"/>
      </w:pPr>
      <w:rPr>
        <w:rFonts w:ascii="Symbol" w:hAnsi="Symbol" w:hint="default"/>
      </w:rPr>
    </w:lvl>
    <w:lvl w:ilvl="1" w:tplc="8C4CC938">
      <w:start w:val="1"/>
      <w:numFmt w:val="bullet"/>
      <w:lvlText w:val="o"/>
      <w:lvlJc w:val="left"/>
      <w:pPr>
        <w:ind w:left="1440" w:hanging="360"/>
      </w:pPr>
      <w:rPr>
        <w:rFonts w:ascii="Courier New" w:hAnsi="Courier New" w:hint="default"/>
      </w:rPr>
    </w:lvl>
    <w:lvl w:ilvl="2" w:tplc="02165752">
      <w:start w:val="1"/>
      <w:numFmt w:val="bullet"/>
      <w:lvlText w:val=""/>
      <w:lvlJc w:val="left"/>
      <w:pPr>
        <w:ind w:left="2160" w:hanging="360"/>
      </w:pPr>
      <w:rPr>
        <w:rFonts w:ascii="Wingdings" w:hAnsi="Wingdings" w:hint="default"/>
      </w:rPr>
    </w:lvl>
    <w:lvl w:ilvl="3" w:tplc="5AD4F670">
      <w:start w:val="1"/>
      <w:numFmt w:val="bullet"/>
      <w:lvlText w:val=""/>
      <w:lvlJc w:val="left"/>
      <w:pPr>
        <w:ind w:left="2880" w:hanging="360"/>
      </w:pPr>
      <w:rPr>
        <w:rFonts w:ascii="Symbol" w:hAnsi="Symbol" w:hint="default"/>
      </w:rPr>
    </w:lvl>
    <w:lvl w:ilvl="4" w:tplc="CCFEDA10">
      <w:start w:val="1"/>
      <w:numFmt w:val="bullet"/>
      <w:lvlText w:val="o"/>
      <w:lvlJc w:val="left"/>
      <w:pPr>
        <w:ind w:left="3600" w:hanging="360"/>
      </w:pPr>
      <w:rPr>
        <w:rFonts w:ascii="Courier New" w:hAnsi="Courier New" w:hint="default"/>
      </w:rPr>
    </w:lvl>
    <w:lvl w:ilvl="5" w:tplc="19C269BC">
      <w:start w:val="1"/>
      <w:numFmt w:val="bullet"/>
      <w:lvlText w:val=""/>
      <w:lvlJc w:val="left"/>
      <w:pPr>
        <w:ind w:left="4320" w:hanging="360"/>
      </w:pPr>
      <w:rPr>
        <w:rFonts w:ascii="Wingdings" w:hAnsi="Wingdings" w:hint="default"/>
      </w:rPr>
    </w:lvl>
    <w:lvl w:ilvl="6" w:tplc="ADF05A74">
      <w:start w:val="1"/>
      <w:numFmt w:val="bullet"/>
      <w:lvlText w:val=""/>
      <w:lvlJc w:val="left"/>
      <w:pPr>
        <w:ind w:left="5040" w:hanging="360"/>
      </w:pPr>
      <w:rPr>
        <w:rFonts w:ascii="Symbol" w:hAnsi="Symbol" w:hint="default"/>
      </w:rPr>
    </w:lvl>
    <w:lvl w:ilvl="7" w:tplc="97B0E20A">
      <w:start w:val="1"/>
      <w:numFmt w:val="bullet"/>
      <w:lvlText w:val="o"/>
      <w:lvlJc w:val="left"/>
      <w:pPr>
        <w:ind w:left="5760" w:hanging="360"/>
      </w:pPr>
      <w:rPr>
        <w:rFonts w:ascii="Courier New" w:hAnsi="Courier New" w:hint="default"/>
      </w:rPr>
    </w:lvl>
    <w:lvl w:ilvl="8" w:tplc="4EA4431A">
      <w:start w:val="1"/>
      <w:numFmt w:val="bullet"/>
      <w:lvlText w:val=""/>
      <w:lvlJc w:val="left"/>
      <w:pPr>
        <w:ind w:left="6480" w:hanging="360"/>
      </w:pPr>
      <w:rPr>
        <w:rFonts w:ascii="Wingdings" w:hAnsi="Wingdings" w:hint="default"/>
      </w:rPr>
    </w:lvl>
  </w:abstractNum>
  <w:abstractNum w:abstractNumId="42" w15:restartNumberingAfterBreak="0">
    <w:nsid w:val="7F4FF5EB"/>
    <w:multiLevelType w:val="hybridMultilevel"/>
    <w:tmpl w:val="559EED5C"/>
    <w:lvl w:ilvl="0" w:tplc="68EEFCD4">
      <w:start w:val="1"/>
      <w:numFmt w:val="decimal"/>
      <w:lvlText w:val="%1."/>
      <w:lvlJc w:val="left"/>
      <w:pPr>
        <w:ind w:left="720" w:hanging="360"/>
      </w:pPr>
    </w:lvl>
    <w:lvl w:ilvl="1" w:tplc="059442DE">
      <w:start w:val="1"/>
      <w:numFmt w:val="lowerLetter"/>
      <w:lvlText w:val="%2."/>
      <w:lvlJc w:val="left"/>
      <w:pPr>
        <w:ind w:left="1440" w:hanging="360"/>
      </w:pPr>
    </w:lvl>
    <w:lvl w:ilvl="2" w:tplc="D3AAA31E">
      <w:start w:val="1"/>
      <w:numFmt w:val="lowerRoman"/>
      <w:lvlText w:val="%3."/>
      <w:lvlJc w:val="right"/>
      <w:pPr>
        <w:ind w:left="2160" w:hanging="180"/>
      </w:pPr>
    </w:lvl>
    <w:lvl w:ilvl="3" w:tplc="3858D764">
      <w:start w:val="1"/>
      <w:numFmt w:val="decimal"/>
      <w:lvlText w:val="%4."/>
      <w:lvlJc w:val="left"/>
      <w:pPr>
        <w:ind w:left="2880" w:hanging="360"/>
      </w:pPr>
    </w:lvl>
    <w:lvl w:ilvl="4" w:tplc="C978A982">
      <w:start w:val="1"/>
      <w:numFmt w:val="lowerLetter"/>
      <w:lvlText w:val="%5."/>
      <w:lvlJc w:val="left"/>
      <w:pPr>
        <w:ind w:left="3600" w:hanging="360"/>
      </w:pPr>
    </w:lvl>
    <w:lvl w:ilvl="5" w:tplc="6EC2702A">
      <w:start w:val="1"/>
      <w:numFmt w:val="lowerRoman"/>
      <w:lvlText w:val="%6."/>
      <w:lvlJc w:val="right"/>
      <w:pPr>
        <w:ind w:left="4320" w:hanging="180"/>
      </w:pPr>
    </w:lvl>
    <w:lvl w:ilvl="6" w:tplc="7122BE18">
      <w:start w:val="1"/>
      <w:numFmt w:val="decimal"/>
      <w:lvlText w:val="%7."/>
      <w:lvlJc w:val="left"/>
      <w:pPr>
        <w:ind w:left="5040" w:hanging="360"/>
      </w:pPr>
    </w:lvl>
    <w:lvl w:ilvl="7" w:tplc="58B225E6">
      <w:start w:val="1"/>
      <w:numFmt w:val="lowerLetter"/>
      <w:lvlText w:val="%8."/>
      <w:lvlJc w:val="left"/>
      <w:pPr>
        <w:ind w:left="5760" w:hanging="360"/>
      </w:pPr>
    </w:lvl>
    <w:lvl w:ilvl="8" w:tplc="44C464D0">
      <w:start w:val="1"/>
      <w:numFmt w:val="lowerRoman"/>
      <w:lvlText w:val="%9."/>
      <w:lvlJc w:val="right"/>
      <w:pPr>
        <w:ind w:left="6480" w:hanging="180"/>
      </w:pPr>
    </w:lvl>
  </w:abstractNum>
  <w:num w:numId="1" w16cid:durableId="168911802">
    <w:abstractNumId w:val="6"/>
  </w:num>
  <w:num w:numId="2" w16cid:durableId="405105859">
    <w:abstractNumId w:val="41"/>
  </w:num>
  <w:num w:numId="3" w16cid:durableId="227422657">
    <w:abstractNumId w:val="40"/>
  </w:num>
  <w:num w:numId="4" w16cid:durableId="1220088651">
    <w:abstractNumId w:val="28"/>
  </w:num>
  <w:num w:numId="5" w16cid:durableId="945307230">
    <w:abstractNumId w:val="15"/>
  </w:num>
  <w:num w:numId="6" w16cid:durableId="1606690045">
    <w:abstractNumId w:val="18"/>
  </w:num>
  <w:num w:numId="7" w16cid:durableId="2072387232">
    <w:abstractNumId w:val="37"/>
  </w:num>
  <w:num w:numId="8" w16cid:durableId="940146059">
    <w:abstractNumId w:val="3"/>
  </w:num>
  <w:num w:numId="9" w16cid:durableId="505363114">
    <w:abstractNumId w:val="2"/>
  </w:num>
  <w:num w:numId="10" w16cid:durableId="1180965859">
    <w:abstractNumId w:val="10"/>
  </w:num>
  <w:num w:numId="11" w16cid:durableId="911695084">
    <w:abstractNumId w:val="39"/>
  </w:num>
  <w:num w:numId="12" w16cid:durableId="806239691">
    <w:abstractNumId w:val="33"/>
  </w:num>
  <w:num w:numId="13" w16cid:durableId="113063838">
    <w:abstractNumId w:val="26"/>
  </w:num>
  <w:num w:numId="14" w16cid:durableId="909846231">
    <w:abstractNumId w:val="27"/>
  </w:num>
  <w:num w:numId="15" w16cid:durableId="1259216622">
    <w:abstractNumId w:val="23"/>
  </w:num>
  <w:num w:numId="16" w16cid:durableId="1359233490">
    <w:abstractNumId w:val="42"/>
  </w:num>
  <w:num w:numId="17" w16cid:durableId="1232157323">
    <w:abstractNumId w:val="11"/>
  </w:num>
  <w:num w:numId="18" w16cid:durableId="509686597">
    <w:abstractNumId w:val="12"/>
  </w:num>
  <w:num w:numId="19" w16cid:durableId="916283485">
    <w:abstractNumId w:val="0"/>
  </w:num>
  <w:num w:numId="20" w16cid:durableId="992297265">
    <w:abstractNumId w:val="35"/>
  </w:num>
  <w:num w:numId="21" w16cid:durableId="349067258">
    <w:abstractNumId w:val="24"/>
  </w:num>
  <w:num w:numId="22" w16cid:durableId="1313631952">
    <w:abstractNumId w:val="7"/>
  </w:num>
  <w:num w:numId="23" w16cid:durableId="1228567085">
    <w:abstractNumId w:val="20"/>
  </w:num>
  <w:num w:numId="24" w16cid:durableId="1382710091">
    <w:abstractNumId w:val="14"/>
  </w:num>
  <w:num w:numId="25" w16cid:durableId="1784029663">
    <w:abstractNumId w:val="30"/>
  </w:num>
  <w:num w:numId="26" w16cid:durableId="1303005402">
    <w:abstractNumId w:val="38"/>
  </w:num>
  <w:num w:numId="27" w16cid:durableId="24066003">
    <w:abstractNumId w:val="22"/>
  </w:num>
  <w:num w:numId="28" w16cid:durableId="1411194174">
    <w:abstractNumId w:val="31"/>
  </w:num>
  <w:num w:numId="29" w16cid:durableId="667438935">
    <w:abstractNumId w:val="16"/>
  </w:num>
  <w:num w:numId="30" w16cid:durableId="961348693">
    <w:abstractNumId w:val="8"/>
  </w:num>
  <w:num w:numId="31" w16cid:durableId="25102076">
    <w:abstractNumId w:val="9"/>
  </w:num>
  <w:num w:numId="32" w16cid:durableId="1794245857">
    <w:abstractNumId w:val="29"/>
  </w:num>
  <w:num w:numId="33" w16cid:durableId="1004284364">
    <w:abstractNumId w:val="1"/>
  </w:num>
  <w:num w:numId="34" w16cid:durableId="2098751018">
    <w:abstractNumId w:val="21"/>
  </w:num>
  <w:num w:numId="35" w16cid:durableId="1543787334">
    <w:abstractNumId w:val="13"/>
  </w:num>
  <w:num w:numId="36" w16cid:durableId="353655744">
    <w:abstractNumId w:val="34"/>
  </w:num>
  <w:num w:numId="37" w16cid:durableId="636880912">
    <w:abstractNumId w:val="4"/>
  </w:num>
  <w:num w:numId="38" w16cid:durableId="1327443955">
    <w:abstractNumId w:val="36"/>
  </w:num>
  <w:num w:numId="39" w16cid:durableId="1104613255">
    <w:abstractNumId w:val="17"/>
  </w:num>
  <w:num w:numId="40" w16cid:durableId="1174682583">
    <w:abstractNumId w:val="25"/>
  </w:num>
  <w:num w:numId="41" w16cid:durableId="2083137932">
    <w:abstractNumId w:val="5"/>
  </w:num>
  <w:num w:numId="42" w16cid:durableId="1720713614">
    <w:abstractNumId w:val="19"/>
  </w:num>
  <w:num w:numId="43" w16cid:durableId="45949605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y Norman">
    <w15:presenceInfo w15:providerId="AD" w15:userId="S::amy.norman@publicfirst.co.uk::34fa8d7f-63aa-4dc1-abce-51ee61f60d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j2ToQbNFAAUuz5bC1vjkziqAopHCNjk3O8WcLyHXIbl7HrlPAad4+capviXaIEM74nTGB6R0Qj2MB8TW7CDm/w==" w:salt="Al/EPhtZiQ598Y0bX0yQP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E58"/>
    <w:rsid w:val="00014235"/>
    <w:rsid w:val="0002507C"/>
    <w:rsid w:val="00032158"/>
    <w:rsid w:val="00052982"/>
    <w:rsid w:val="00060801"/>
    <w:rsid w:val="00064CF6"/>
    <w:rsid w:val="00071795"/>
    <w:rsid w:val="00072065"/>
    <w:rsid w:val="00073698"/>
    <w:rsid w:val="00083E90"/>
    <w:rsid w:val="00093213"/>
    <w:rsid w:val="000A4ADB"/>
    <w:rsid w:val="000B10D3"/>
    <w:rsid w:val="000B1706"/>
    <w:rsid w:val="000B2ED6"/>
    <w:rsid w:val="000B3786"/>
    <w:rsid w:val="000C7AFB"/>
    <w:rsid w:val="000D0DEF"/>
    <w:rsid w:val="000D162C"/>
    <w:rsid w:val="000D6B8A"/>
    <w:rsid w:val="000E08D6"/>
    <w:rsid w:val="000E1E86"/>
    <w:rsid w:val="000E4159"/>
    <w:rsid w:val="000F568E"/>
    <w:rsid w:val="001000C1"/>
    <w:rsid w:val="00100AF0"/>
    <w:rsid w:val="00105230"/>
    <w:rsid w:val="0011192C"/>
    <w:rsid w:val="00121FDD"/>
    <w:rsid w:val="0012509A"/>
    <w:rsid w:val="00147A74"/>
    <w:rsid w:val="001501C7"/>
    <w:rsid w:val="0015178D"/>
    <w:rsid w:val="00182E14"/>
    <w:rsid w:val="0018653F"/>
    <w:rsid w:val="001A0AA8"/>
    <w:rsid w:val="001A23C7"/>
    <w:rsid w:val="001A5E58"/>
    <w:rsid w:val="001B04A7"/>
    <w:rsid w:val="001D49CC"/>
    <w:rsid w:val="001D4EA2"/>
    <w:rsid w:val="001E2629"/>
    <w:rsid w:val="001E56A1"/>
    <w:rsid w:val="001F3112"/>
    <w:rsid w:val="00204C8A"/>
    <w:rsid w:val="0021249D"/>
    <w:rsid w:val="0021556C"/>
    <w:rsid w:val="00220901"/>
    <w:rsid w:val="00231390"/>
    <w:rsid w:val="0024066A"/>
    <w:rsid w:val="002429DD"/>
    <w:rsid w:val="0024436B"/>
    <w:rsid w:val="00250669"/>
    <w:rsid w:val="0025783D"/>
    <w:rsid w:val="00262DFA"/>
    <w:rsid w:val="00265EE2"/>
    <w:rsid w:val="00266D4D"/>
    <w:rsid w:val="0027269D"/>
    <w:rsid w:val="00275257"/>
    <w:rsid w:val="00281A67"/>
    <w:rsid w:val="0028433D"/>
    <w:rsid w:val="00287D1A"/>
    <w:rsid w:val="002A1FE6"/>
    <w:rsid w:val="002A5689"/>
    <w:rsid w:val="002A7F46"/>
    <w:rsid w:val="002B0BE1"/>
    <w:rsid w:val="002B1608"/>
    <w:rsid w:val="002B66DA"/>
    <w:rsid w:val="002C09A2"/>
    <w:rsid w:val="002DEA9F"/>
    <w:rsid w:val="002E2444"/>
    <w:rsid w:val="002E4076"/>
    <w:rsid w:val="002F08EB"/>
    <w:rsid w:val="002F2373"/>
    <w:rsid w:val="00306085"/>
    <w:rsid w:val="00325FD1"/>
    <w:rsid w:val="0033C3D6"/>
    <w:rsid w:val="00341B6C"/>
    <w:rsid w:val="00343D76"/>
    <w:rsid w:val="00344BBB"/>
    <w:rsid w:val="00347EF8"/>
    <w:rsid w:val="00355AF2"/>
    <w:rsid w:val="00362D16"/>
    <w:rsid w:val="0036586E"/>
    <w:rsid w:val="00367E41"/>
    <w:rsid w:val="00374CD1"/>
    <w:rsid w:val="00375D65"/>
    <w:rsid w:val="00380435"/>
    <w:rsid w:val="003A0797"/>
    <w:rsid w:val="003A12C0"/>
    <w:rsid w:val="003A13DF"/>
    <w:rsid w:val="003B4CAA"/>
    <w:rsid w:val="003B68B3"/>
    <w:rsid w:val="003C646C"/>
    <w:rsid w:val="003D3BBB"/>
    <w:rsid w:val="003E0067"/>
    <w:rsid w:val="003E52F2"/>
    <w:rsid w:val="003E5D00"/>
    <w:rsid w:val="003F49EB"/>
    <w:rsid w:val="004077E8"/>
    <w:rsid w:val="004222E1"/>
    <w:rsid w:val="0043674F"/>
    <w:rsid w:val="0044179F"/>
    <w:rsid w:val="00446916"/>
    <w:rsid w:val="0045014E"/>
    <w:rsid w:val="00455D9A"/>
    <w:rsid w:val="00460B22"/>
    <w:rsid w:val="004647B9"/>
    <w:rsid w:val="00464EDD"/>
    <w:rsid w:val="0046635B"/>
    <w:rsid w:val="004748D1"/>
    <w:rsid w:val="004753CF"/>
    <w:rsid w:val="00480236"/>
    <w:rsid w:val="00480EB3"/>
    <w:rsid w:val="00482404"/>
    <w:rsid w:val="00487FB8"/>
    <w:rsid w:val="004901F0"/>
    <w:rsid w:val="00490B6C"/>
    <w:rsid w:val="00495465"/>
    <w:rsid w:val="004A6153"/>
    <w:rsid w:val="004B627E"/>
    <w:rsid w:val="004B6BDD"/>
    <w:rsid w:val="004B7B9B"/>
    <w:rsid w:val="004C5AFA"/>
    <w:rsid w:val="004C6636"/>
    <w:rsid w:val="004C799D"/>
    <w:rsid w:val="004D21DA"/>
    <w:rsid w:val="004D2DA1"/>
    <w:rsid w:val="004D4D12"/>
    <w:rsid w:val="004D7F10"/>
    <w:rsid w:val="004E153C"/>
    <w:rsid w:val="004E4791"/>
    <w:rsid w:val="004F3A9B"/>
    <w:rsid w:val="004F49D8"/>
    <w:rsid w:val="00505881"/>
    <w:rsid w:val="005090B5"/>
    <w:rsid w:val="00517404"/>
    <w:rsid w:val="005351EC"/>
    <w:rsid w:val="005408E4"/>
    <w:rsid w:val="00544254"/>
    <w:rsid w:val="00544FE3"/>
    <w:rsid w:val="005451A4"/>
    <w:rsid w:val="0056361C"/>
    <w:rsid w:val="00563FA9"/>
    <w:rsid w:val="00575A9A"/>
    <w:rsid w:val="005847E4"/>
    <w:rsid w:val="00591961"/>
    <w:rsid w:val="005A4214"/>
    <w:rsid w:val="005B0BDF"/>
    <w:rsid w:val="005B1EA8"/>
    <w:rsid w:val="005B20F7"/>
    <w:rsid w:val="005C42DB"/>
    <w:rsid w:val="005D0590"/>
    <w:rsid w:val="005D38AC"/>
    <w:rsid w:val="005E08D1"/>
    <w:rsid w:val="005E5A97"/>
    <w:rsid w:val="005F0D8D"/>
    <w:rsid w:val="005F2F43"/>
    <w:rsid w:val="005F41BB"/>
    <w:rsid w:val="00610A94"/>
    <w:rsid w:val="00612A6C"/>
    <w:rsid w:val="00633891"/>
    <w:rsid w:val="00636078"/>
    <w:rsid w:val="006401E2"/>
    <w:rsid w:val="00640BE6"/>
    <w:rsid w:val="00644540"/>
    <w:rsid w:val="0064531E"/>
    <w:rsid w:val="0064BDCE"/>
    <w:rsid w:val="00652D3E"/>
    <w:rsid w:val="00653D62"/>
    <w:rsid w:val="0065670D"/>
    <w:rsid w:val="00667E22"/>
    <w:rsid w:val="00670546"/>
    <w:rsid w:val="0067713B"/>
    <w:rsid w:val="00681B47"/>
    <w:rsid w:val="00686C38"/>
    <w:rsid w:val="006A5AA7"/>
    <w:rsid w:val="006A5B1D"/>
    <w:rsid w:val="006C4792"/>
    <w:rsid w:val="006C4C04"/>
    <w:rsid w:val="006E5510"/>
    <w:rsid w:val="006F4A0E"/>
    <w:rsid w:val="006F6554"/>
    <w:rsid w:val="006F7ECC"/>
    <w:rsid w:val="00701AA9"/>
    <w:rsid w:val="007062EE"/>
    <w:rsid w:val="00720AC3"/>
    <w:rsid w:val="007330C8"/>
    <w:rsid w:val="00736315"/>
    <w:rsid w:val="0074197F"/>
    <w:rsid w:val="0074413A"/>
    <w:rsid w:val="007519BA"/>
    <w:rsid w:val="00753A52"/>
    <w:rsid w:val="00755AA4"/>
    <w:rsid w:val="00775207"/>
    <w:rsid w:val="007872A5"/>
    <w:rsid w:val="00787FB0"/>
    <w:rsid w:val="00790237"/>
    <w:rsid w:val="007967B9"/>
    <w:rsid w:val="007A2EEE"/>
    <w:rsid w:val="007A41B8"/>
    <w:rsid w:val="007A6E50"/>
    <w:rsid w:val="007D0D44"/>
    <w:rsid w:val="007E1F66"/>
    <w:rsid w:val="007E50F9"/>
    <w:rsid w:val="007E646A"/>
    <w:rsid w:val="007F03CD"/>
    <w:rsid w:val="007F13EE"/>
    <w:rsid w:val="00831995"/>
    <w:rsid w:val="00834C20"/>
    <w:rsid w:val="008543A6"/>
    <w:rsid w:val="00872ACF"/>
    <w:rsid w:val="00874EBA"/>
    <w:rsid w:val="0087583D"/>
    <w:rsid w:val="00880061"/>
    <w:rsid w:val="008A38BC"/>
    <w:rsid w:val="008A68A7"/>
    <w:rsid w:val="008B3FB1"/>
    <w:rsid w:val="008D467F"/>
    <w:rsid w:val="008E69FF"/>
    <w:rsid w:val="008F3165"/>
    <w:rsid w:val="008F3E68"/>
    <w:rsid w:val="008F698A"/>
    <w:rsid w:val="009200EB"/>
    <w:rsid w:val="0092583D"/>
    <w:rsid w:val="00940727"/>
    <w:rsid w:val="00940B06"/>
    <w:rsid w:val="00943B7E"/>
    <w:rsid w:val="00946494"/>
    <w:rsid w:val="0094680A"/>
    <w:rsid w:val="00946AF4"/>
    <w:rsid w:val="0095041D"/>
    <w:rsid w:val="00953415"/>
    <w:rsid w:val="00955D77"/>
    <w:rsid w:val="0096519B"/>
    <w:rsid w:val="0096749D"/>
    <w:rsid w:val="00977B33"/>
    <w:rsid w:val="00977EB3"/>
    <w:rsid w:val="009847C4"/>
    <w:rsid w:val="00986000"/>
    <w:rsid w:val="00990F21"/>
    <w:rsid w:val="009A1A39"/>
    <w:rsid w:val="009AFC5F"/>
    <w:rsid w:val="009B0108"/>
    <w:rsid w:val="009B4C86"/>
    <w:rsid w:val="009B5321"/>
    <w:rsid w:val="009D0758"/>
    <w:rsid w:val="009D1B6A"/>
    <w:rsid w:val="009D3826"/>
    <w:rsid w:val="009D3B70"/>
    <w:rsid w:val="009D4298"/>
    <w:rsid w:val="009F5A37"/>
    <w:rsid w:val="00A018E4"/>
    <w:rsid w:val="00A2059F"/>
    <w:rsid w:val="00A2175C"/>
    <w:rsid w:val="00A24A4B"/>
    <w:rsid w:val="00A2636C"/>
    <w:rsid w:val="00A269E9"/>
    <w:rsid w:val="00A32A59"/>
    <w:rsid w:val="00A419B1"/>
    <w:rsid w:val="00A4313C"/>
    <w:rsid w:val="00A57857"/>
    <w:rsid w:val="00A63FD0"/>
    <w:rsid w:val="00A70A6D"/>
    <w:rsid w:val="00A71427"/>
    <w:rsid w:val="00A7235A"/>
    <w:rsid w:val="00A72E4E"/>
    <w:rsid w:val="00A769AB"/>
    <w:rsid w:val="00A86D5A"/>
    <w:rsid w:val="00A90680"/>
    <w:rsid w:val="00A92991"/>
    <w:rsid w:val="00AC4784"/>
    <w:rsid w:val="00AC6A4E"/>
    <w:rsid w:val="00AC7C8A"/>
    <w:rsid w:val="00AD161C"/>
    <w:rsid w:val="00AD4C10"/>
    <w:rsid w:val="00AD6287"/>
    <w:rsid w:val="00B00001"/>
    <w:rsid w:val="00B04946"/>
    <w:rsid w:val="00B14233"/>
    <w:rsid w:val="00B145D9"/>
    <w:rsid w:val="00B17D5F"/>
    <w:rsid w:val="00B259C0"/>
    <w:rsid w:val="00B26FEA"/>
    <w:rsid w:val="00B270C9"/>
    <w:rsid w:val="00B41708"/>
    <w:rsid w:val="00B46419"/>
    <w:rsid w:val="00B862F0"/>
    <w:rsid w:val="00B9784B"/>
    <w:rsid w:val="00BA5EE0"/>
    <w:rsid w:val="00BB2BD9"/>
    <w:rsid w:val="00BB6D7A"/>
    <w:rsid w:val="00BC355E"/>
    <w:rsid w:val="00BC7289"/>
    <w:rsid w:val="00BD314D"/>
    <w:rsid w:val="00BE4E6C"/>
    <w:rsid w:val="00BF457E"/>
    <w:rsid w:val="00C00BD0"/>
    <w:rsid w:val="00C02379"/>
    <w:rsid w:val="00C059D7"/>
    <w:rsid w:val="00C129B0"/>
    <w:rsid w:val="00C13097"/>
    <w:rsid w:val="00C2092A"/>
    <w:rsid w:val="00C22B9F"/>
    <w:rsid w:val="00C319FA"/>
    <w:rsid w:val="00C4465F"/>
    <w:rsid w:val="00C60A6C"/>
    <w:rsid w:val="00C65158"/>
    <w:rsid w:val="00C67B41"/>
    <w:rsid w:val="00C67BE4"/>
    <w:rsid w:val="00C77A28"/>
    <w:rsid w:val="00C879D7"/>
    <w:rsid w:val="00CA438B"/>
    <w:rsid w:val="00CC16C2"/>
    <w:rsid w:val="00CC6240"/>
    <w:rsid w:val="00CD0559"/>
    <w:rsid w:val="00CD1F51"/>
    <w:rsid w:val="00CE0E48"/>
    <w:rsid w:val="00CE1BBE"/>
    <w:rsid w:val="00D068FB"/>
    <w:rsid w:val="00D13CB8"/>
    <w:rsid w:val="00D231E7"/>
    <w:rsid w:val="00D26E14"/>
    <w:rsid w:val="00D36BC9"/>
    <w:rsid w:val="00D47B1C"/>
    <w:rsid w:val="00D7056F"/>
    <w:rsid w:val="00D731DE"/>
    <w:rsid w:val="00D92342"/>
    <w:rsid w:val="00D95310"/>
    <w:rsid w:val="00DA2508"/>
    <w:rsid w:val="00DC5BFF"/>
    <w:rsid w:val="00DC62EC"/>
    <w:rsid w:val="00DC6F1F"/>
    <w:rsid w:val="00DE76C9"/>
    <w:rsid w:val="00E03530"/>
    <w:rsid w:val="00E058E3"/>
    <w:rsid w:val="00E08122"/>
    <w:rsid w:val="00E128FB"/>
    <w:rsid w:val="00E24CE7"/>
    <w:rsid w:val="00E25E68"/>
    <w:rsid w:val="00E46DFF"/>
    <w:rsid w:val="00E54113"/>
    <w:rsid w:val="00E60179"/>
    <w:rsid w:val="00E715CB"/>
    <w:rsid w:val="00E762CF"/>
    <w:rsid w:val="00E7CDAA"/>
    <w:rsid w:val="00E817A7"/>
    <w:rsid w:val="00E95AAA"/>
    <w:rsid w:val="00EA2E5E"/>
    <w:rsid w:val="00ED4F63"/>
    <w:rsid w:val="00F045EA"/>
    <w:rsid w:val="00F06AB9"/>
    <w:rsid w:val="00F10358"/>
    <w:rsid w:val="00F14118"/>
    <w:rsid w:val="00F144CA"/>
    <w:rsid w:val="00F411E3"/>
    <w:rsid w:val="00F43095"/>
    <w:rsid w:val="00F601F6"/>
    <w:rsid w:val="00F611B7"/>
    <w:rsid w:val="00F673AF"/>
    <w:rsid w:val="00F71564"/>
    <w:rsid w:val="00F7216E"/>
    <w:rsid w:val="00F74953"/>
    <w:rsid w:val="00F774C5"/>
    <w:rsid w:val="00F84F72"/>
    <w:rsid w:val="00F901AD"/>
    <w:rsid w:val="00F9175D"/>
    <w:rsid w:val="00F920E0"/>
    <w:rsid w:val="00F95683"/>
    <w:rsid w:val="00FA21CB"/>
    <w:rsid w:val="00FA4CFD"/>
    <w:rsid w:val="00FA535B"/>
    <w:rsid w:val="00FA72C7"/>
    <w:rsid w:val="00FB79CF"/>
    <w:rsid w:val="00FC43E3"/>
    <w:rsid w:val="00FC7C3B"/>
    <w:rsid w:val="00FD52E7"/>
    <w:rsid w:val="00FF2CAE"/>
    <w:rsid w:val="00FF30A2"/>
    <w:rsid w:val="0102C8CC"/>
    <w:rsid w:val="011E95A5"/>
    <w:rsid w:val="0128F0B1"/>
    <w:rsid w:val="0140F5EC"/>
    <w:rsid w:val="01480C46"/>
    <w:rsid w:val="014D3334"/>
    <w:rsid w:val="016026D1"/>
    <w:rsid w:val="01644CBA"/>
    <w:rsid w:val="0164E1A9"/>
    <w:rsid w:val="01662716"/>
    <w:rsid w:val="016630F9"/>
    <w:rsid w:val="017CAA53"/>
    <w:rsid w:val="0182AFEC"/>
    <w:rsid w:val="01966ECD"/>
    <w:rsid w:val="01A34FA3"/>
    <w:rsid w:val="01B04841"/>
    <w:rsid w:val="01B6AD7B"/>
    <w:rsid w:val="01C2EA4B"/>
    <w:rsid w:val="01CA5252"/>
    <w:rsid w:val="01EA5501"/>
    <w:rsid w:val="01F7F9F9"/>
    <w:rsid w:val="01FC6A69"/>
    <w:rsid w:val="020B77E5"/>
    <w:rsid w:val="0222A552"/>
    <w:rsid w:val="0222A613"/>
    <w:rsid w:val="0231293D"/>
    <w:rsid w:val="02361BCB"/>
    <w:rsid w:val="024186AF"/>
    <w:rsid w:val="024AFFE4"/>
    <w:rsid w:val="024EDE30"/>
    <w:rsid w:val="0252C0B4"/>
    <w:rsid w:val="026273BC"/>
    <w:rsid w:val="026A30B1"/>
    <w:rsid w:val="026B27EC"/>
    <w:rsid w:val="02783606"/>
    <w:rsid w:val="02783902"/>
    <w:rsid w:val="0278F1BA"/>
    <w:rsid w:val="0295854A"/>
    <w:rsid w:val="029EC028"/>
    <w:rsid w:val="02A4C6FF"/>
    <w:rsid w:val="02A945EF"/>
    <w:rsid w:val="02A967AA"/>
    <w:rsid w:val="02B3411E"/>
    <w:rsid w:val="02B56F27"/>
    <w:rsid w:val="02C64901"/>
    <w:rsid w:val="02C8EABF"/>
    <w:rsid w:val="02D75032"/>
    <w:rsid w:val="02DF5676"/>
    <w:rsid w:val="02FFD0A0"/>
    <w:rsid w:val="03028852"/>
    <w:rsid w:val="030512BF"/>
    <w:rsid w:val="0316DEAF"/>
    <w:rsid w:val="031C93FC"/>
    <w:rsid w:val="03246E0D"/>
    <w:rsid w:val="0358B275"/>
    <w:rsid w:val="035984B0"/>
    <w:rsid w:val="035AD214"/>
    <w:rsid w:val="0362C8FD"/>
    <w:rsid w:val="0383DAC2"/>
    <w:rsid w:val="038D9CC9"/>
    <w:rsid w:val="039A8BC5"/>
    <w:rsid w:val="039C418E"/>
    <w:rsid w:val="03A7CA7F"/>
    <w:rsid w:val="03B7BF7F"/>
    <w:rsid w:val="03BC1072"/>
    <w:rsid w:val="03D317C0"/>
    <w:rsid w:val="03D66C46"/>
    <w:rsid w:val="03E6CED1"/>
    <w:rsid w:val="03F2A507"/>
    <w:rsid w:val="040C5E23"/>
    <w:rsid w:val="041901B5"/>
    <w:rsid w:val="041AA232"/>
    <w:rsid w:val="042F99C3"/>
    <w:rsid w:val="043BF2D6"/>
    <w:rsid w:val="043DA37B"/>
    <w:rsid w:val="04624C56"/>
    <w:rsid w:val="046A80D5"/>
    <w:rsid w:val="046B4C5A"/>
    <w:rsid w:val="046CED74"/>
    <w:rsid w:val="0490963C"/>
    <w:rsid w:val="04940F03"/>
    <w:rsid w:val="049F61B8"/>
    <w:rsid w:val="04AD5C0A"/>
    <w:rsid w:val="04C74CAD"/>
    <w:rsid w:val="04D5A747"/>
    <w:rsid w:val="04D87674"/>
    <w:rsid w:val="04D9CF0B"/>
    <w:rsid w:val="04E15760"/>
    <w:rsid w:val="04E5CFAD"/>
    <w:rsid w:val="04F7C8B8"/>
    <w:rsid w:val="04F888F5"/>
    <w:rsid w:val="04F9884E"/>
    <w:rsid w:val="05058F1D"/>
    <w:rsid w:val="050FAFDA"/>
    <w:rsid w:val="0525E20D"/>
    <w:rsid w:val="052F3647"/>
    <w:rsid w:val="0533825E"/>
    <w:rsid w:val="054259F7"/>
    <w:rsid w:val="055C959D"/>
    <w:rsid w:val="05630F69"/>
    <w:rsid w:val="0563BAC9"/>
    <w:rsid w:val="056447F2"/>
    <w:rsid w:val="057A17B9"/>
    <w:rsid w:val="058097CF"/>
    <w:rsid w:val="058FF89A"/>
    <w:rsid w:val="05954C1C"/>
    <w:rsid w:val="059C086B"/>
    <w:rsid w:val="05A1F9C1"/>
    <w:rsid w:val="05A32592"/>
    <w:rsid w:val="05A449D9"/>
    <w:rsid w:val="05B48B9F"/>
    <w:rsid w:val="05B49E1F"/>
    <w:rsid w:val="05B71B29"/>
    <w:rsid w:val="05C4206B"/>
    <w:rsid w:val="05C92E8D"/>
    <w:rsid w:val="05D83E60"/>
    <w:rsid w:val="05DCF088"/>
    <w:rsid w:val="05F45383"/>
    <w:rsid w:val="05F6F310"/>
    <w:rsid w:val="060305C1"/>
    <w:rsid w:val="06069628"/>
    <w:rsid w:val="0612BA81"/>
    <w:rsid w:val="061A2ADB"/>
    <w:rsid w:val="0621510D"/>
    <w:rsid w:val="06238912"/>
    <w:rsid w:val="0626585A"/>
    <w:rsid w:val="063F86B7"/>
    <w:rsid w:val="064E942D"/>
    <w:rsid w:val="06505CDE"/>
    <w:rsid w:val="0650B98C"/>
    <w:rsid w:val="06544F85"/>
    <w:rsid w:val="0665E5FB"/>
    <w:rsid w:val="06669402"/>
    <w:rsid w:val="06681452"/>
    <w:rsid w:val="067C84F4"/>
    <w:rsid w:val="06863C39"/>
    <w:rsid w:val="06909153"/>
    <w:rsid w:val="0692E477"/>
    <w:rsid w:val="069D6F89"/>
    <w:rsid w:val="06A03611"/>
    <w:rsid w:val="06AFD91E"/>
    <w:rsid w:val="06C44278"/>
    <w:rsid w:val="06EE46CA"/>
    <w:rsid w:val="06EEA974"/>
    <w:rsid w:val="06F11FAE"/>
    <w:rsid w:val="06F9C57A"/>
    <w:rsid w:val="070F85B9"/>
    <w:rsid w:val="0719D4BA"/>
    <w:rsid w:val="071B1652"/>
    <w:rsid w:val="071B20A1"/>
    <w:rsid w:val="071C09F3"/>
    <w:rsid w:val="0748DFBB"/>
    <w:rsid w:val="076741A4"/>
    <w:rsid w:val="076D7EAA"/>
    <w:rsid w:val="07719CDB"/>
    <w:rsid w:val="0774E43E"/>
    <w:rsid w:val="07785489"/>
    <w:rsid w:val="0798B4FB"/>
    <w:rsid w:val="079B689B"/>
    <w:rsid w:val="079F9258"/>
    <w:rsid w:val="07AE479A"/>
    <w:rsid w:val="07B0AF88"/>
    <w:rsid w:val="07BB855A"/>
    <w:rsid w:val="07BD4BA7"/>
    <w:rsid w:val="07C1AB72"/>
    <w:rsid w:val="07C73F5C"/>
    <w:rsid w:val="07CF305D"/>
    <w:rsid w:val="07D82DEF"/>
    <w:rsid w:val="07DC7EE4"/>
    <w:rsid w:val="07E2107A"/>
    <w:rsid w:val="07E3E557"/>
    <w:rsid w:val="07EA9E75"/>
    <w:rsid w:val="07F82868"/>
    <w:rsid w:val="08007A06"/>
    <w:rsid w:val="0803B506"/>
    <w:rsid w:val="08072EAC"/>
    <w:rsid w:val="081D026E"/>
    <w:rsid w:val="0822708E"/>
    <w:rsid w:val="082F920C"/>
    <w:rsid w:val="08315D6D"/>
    <w:rsid w:val="08449715"/>
    <w:rsid w:val="084525C2"/>
    <w:rsid w:val="084FFCE7"/>
    <w:rsid w:val="085B28F2"/>
    <w:rsid w:val="086338FC"/>
    <w:rsid w:val="08661462"/>
    <w:rsid w:val="0868F162"/>
    <w:rsid w:val="086C07B0"/>
    <w:rsid w:val="087E33BF"/>
    <w:rsid w:val="088FCBA4"/>
    <w:rsid w:val="0891F025"/>
    <w:rsid w:val="08A058FC"/>
    <w:rsid w:val="08AABB92"/>
    <w:rsid w:val="08B29B12"/>
    <w:rsid w:val="08C1CDAA"/>
    <w:rsid w:val="08CC6B48"/>
    <w:rsid w:val="08D215D1"/>
    <w:rsid w:val="08E292A4"/>
    <w:rsid w:val="08FF5008"/>
    <w:rsid w:val="09063F06"/>
    <w:rsid w:val="0909DC96"/>
    <w:rsid w:val="091243FE"/>
    <w:rsid w:val="0916B892"/>
    <w:rsid w:val="091D3277"/>
    <w:rsid w:val="093A70AA"/>
    <w:rsid w:val="094539D2"/>
    <w:rsid w:val="094CB352"/>
    <w:rsid w:val="094DDFA1"/>
    <w:rsid w:val="095B5BBA"/>
    <w:rsid w:val="09798BB7"/>
    <w:rsid w:val="097E0058"/>
    <w:rsid w:val="097F7236"/>
    <w:rsid w:val="0983AC04"/>
    <w:rsid w:val="09841781"/>
    <w:rsid w:val="098FCAA5"/>
    <w:rsid w:val="09A1BE06"/>
    <w:rsid w:val="09A29169"/>
    <w:rsid w:val="09AC8FEF"/>
    <w:rsid w:val="09B297A9"/>
    <w:rsid w:val="09B48B43"/>
    <w:rsid w:val="09B8CD29"/>
    <w:rsid w:val="09C65AED"/>
    <w:rsid w:val="09CAE7C6"/>
    <w:rsid w:val="09CE60A8"/>
    <w:rsid w:val="09FA6C4C"/>
    <w:rsid w:val="0A026485"/>
    <w:rsid w:val="0A09852D"/>
    <w:rsid w:val="0A0E0CA2"/>
    <w:rsid w:val="0A162EE4"/>
    <w:rsid w:val="0A1A3F6A"/>
    <w:rsid w:val="0A240ED2"/>
    <w:rsid w:val="0A2CAC88"/>
    <w:rsid w:val="0A3FA440"/>
    <w:rsid w:val="0A40CE4E"/>
    <w:rsid w:val="0A52DDF1"/>
    <w:rsid w:val="0A5C9638"/>
    <w:rsid w:val="0A627D7E"/>
    <w:rsid w:val="0A686ABC"/>
    <w:rsid w:val="0A695D40"/>
    <w:rsid w:val="0A6C0E67"/>
    <w:rsid w:val="0A73686F"/>
    <w:rsid w:val="0A756096"/>
    <w:rsid w:val="0A788284"/>
    <w:rsid w:val="0A7D2495"/>
    <w:rsid w:val="0A8514D2"/>
    <w:rsid w:val="0A917585"/>
    <w:rsid w:val="0AA4499B"/>
    <w:rsid w:val="0AA99BBF"/>
    <w:rsid w:val="0AB88156"/>
    <w:rsid w:val="0AB9A13B"/>
    <w:rsid w:val="0ACAB499"/>
    <w:rsid w:val="0ACAE9D1"/>
    <w:rsid w:val="0AD63D97"/>
    <w:rsid w:val="0ADDD0DB"/>
    <w:rsid w:val="0AE022E5"/>
    <w:rsid w:val="0AEA2303"/>
    <w:rsid w:val="0AFFBB49"/>
    <w:rsid w:val="0B02DA5E"/>
    <w:rsid w:val="0B067D97"/>
    <w:rsid w:val="0B06C794"/>
    <w:rsid w:val="0B0C75B7"/>
    <w:rsid w:val="0B0F7370"/>
    <w:rsid w:val="0B1CDB46"/>
    <w:rsid w:val="0B1F0B5A"/>
    <w:rsid w:val="0B302198"/>
    <w:rsid w:val="0B42DB8A"/>
    <w:rsid w:val="0B555C9F"/>
    <w:rsid w:val="0B5EACDC"/>
    <w:rsid w:val="0B684BB8"/>
    <w:rsid w:val="0B76F084"/>
    <w:rsid w:val="0B7F13A2"/>
    <w:rsid w:val="0B83A3FF"/>
    <w:rsid w:val="0B8958B4"/>
    <w:rsid w:val="0B9189CE"/>
    <w:rsid w:val="0B997781"/>
    <w:rsid w:val="0B9B7CAA"/>
    <w:rsid w:val="0B9F6BAA"/>
    <w:rsid w:val="0BAD1C5D"/>
    <w:rsid w:val="0BAEE9C0"/>
    <w:rsid w:val="0BB465F5"/>
    <w:rsid w:val="0BB56555"/>
    <w:rsid w:val="0BB58E68"/>
    <w:rsid w:val="0BB90752"/>
    <w:rsid w:val="0BC0B3B3"/>
    <w:rsid w:val="0BC1A101"/>
    <w:rsid w:val="0BC3F37D"/>
    <w:rsid w:val="0BD6FF9F"/>
    <w:rsid w:val="0BD8F5EE"/>
    <w:rsid w:val="0BE3DEA7"/>
    <w:rsid w:val="0BEE66E8"/>
    <w:rsid w:val="0BF9F27B"/>
    <w:rsid w:val="0C0BEA10"/>
    <w:rsid w:val="0C1C4D2A"/>
    <w:rsid w:val="0C23D22E"/>
    <w:rsid w:val="0C2A6782"/>
    <w:rsid w:val="0C31163B"/>
    <w:rsid w:val="0C33482F"/>
    <w:rsid w:val="0C3BDB43"/>
    <w:rsid w:val="0C43B309"/>
    <w:rsid w:val="0C46129B"/>
    <w:rsid w:val="0C51A027"/>
    <w:rsid w:val="0C556CE0"/>
    <w:rsid w:val="0C56AE28"/>
    <w:rsid w:val="0C6A9C8E"/>
    <w:rsid w:val="0C7201F3"/>
    <w:rsid w:val="0C760A90"/>
    <w:rsid w:val="0C7744B7"/>
    <w:rsid w:val="0C89EE79"/>
    <w:rsid w:val="0C9BA86F"/>
    <w:rsid w:val="0C9F2487"/>
    <w:rsid w:val="0CA3BB07"/>
    <w:rsid w:val="0CC52090"/>
    <w:rsid w:val="0CC64054"/>
    <w:rsid w:val="0CD02E15"/>
    <w:rsid w:val="0CDBDBC4"/>
    <w:rsid w:val="0CF8F780"/>
    <w:rsid w:val="0D017C11"/>
    <w:rsid w:val="0D1709A0"/>
    <w:rsid w:val="0D249393"/>
    <w:rsid w:val="0D304187"/>
    <w:rsid w:val="0D34E544"/>
    <w:rsid w:val="0D3FDBE4"/>
    <w:rsid w:val="0D4F5877"/>
    <w:rsid w:val="0D5EE51D"/>
    <w:rsid w:val="0D818E89"/>
    <w:rsid w:val="0D8FFD8E"/>
    <w:rsid w:val="0D92257B"/>
    <w:rsid w:val="0D9E744D"/>
    <w:rsid w:val="0DA02E04"/>
    <w:rsid w:val="0DACC37B"/>
    <w:rsid w:val="0DB88AA9"/>
    <w:rsid w:val="0DBBACE9"/>
    <w:rsid w:val="0DC0DFFE"/>
    <w:rsid w:val="0DCFEAF1"/>
    <w:rsid w:val="0DDE27A1"/>
    <w:rsid w:val="0DE0EB2B"/>
    <w:rsid w:val="0DE4C5A4"/>
    <w:rsid w:val="0DE702B4"/>
    <w:rsid w:val="0E0834AC"/>
    <w:rsid w:val="0E0A4FC2"/>
    <w:rsid w:val="0E183CBC"/>
    <w:rsid w:val="0E1CBAF0"/>
    <w:rsid w:val="0E2B710B"/>
    <w:rsid w:val="0E347CA5"/>
    <w:rsid w:val="0E3BD89A"/>
    <w:rsid w:val="0E4278C6"/>
    <w:rsid w:val="0E43B97B"/>
    <w:rsid w:val="0E511630"/>
    <w:rsid w:val="0E52D14E"/>
    <w:rsid w:val="0E690965"/>
    <w:rsid w:val="0E73B1FE"/>
    <w:rsid w:val="0E78C833"/>
    <w:rsid w:val="0E8B7833"/>
    <w:rsid w:val="0E961DDA"/>
    <w:rsid w:val="0E96F0B4"/>
    <w:rsid w:val="0E9FB441"/>
    <w:rsid w:val="0EB98D9F"/>
    <w:rsid w:val="0EBF4595"/>
    <w:rsid w:val="0EC97E78"/>
    <w:rsid w:val="0ED77D88"/>
    <w:rsid w:val="0EDB0DAC"/>
    <w:rsid w:val="0EE05A9E"/>
    <w:rsid w:val="0EE6472D"/>
    <w:rsid w:val="0EEA5E55"/>
    <w:rsid w:val="0EEBEF60"/>
    <w:rsid w:val="0EF5FFB3"/>
    <w:rsid w:val="0EFB4FC6"/>
    <w:rsid w:val="0F041C4A"/>
    <w:rsid w:val="0F15855B"/>
    <w:rsid w:val="0F1B5421"/>
    <w:rsid w:val="0F1BD813"/>
    <w:rsid w:val="0F2E35C6"/>
    <w:rsid w:val="0F315B95"/>
    <w:rsid w:val="0F3261DF"/>
    <w:rsid w:val="0F37F9F1"/>
    <w:rsid w:val="0F491F63"/>
    <w:rsid w:val="0F4C4968"/>
    <w:rsid w:val="0F588603"/>
    <w:rsid w:val="0F5E578F"/>
    <w:rsid w:val="0F6CE852"/>
    <w:rsid w:val="0F725C91"/>
    <w:rsid w:val="0F755C4B"/>
    <w:rsid w:val="0F7CF566"/>
    <w:rsid w:val="0F8AF5F3"/>
    <w:rsid w:val="0F8E602E"/>
    <w:rsid w:val="0F960C34"/>
    <w:rsid w:val="0F9B56A6"/>
    <w:rsid w:val="0FA0B773"/>
    <w:rsid w:val="0FA66FA6"/>
    <w:rsid w:val="0FAB846F"/>
    <w:rsid w:val="0FAF6D8A"/>
    <w:rsid w:val="0FD8C36B"/>
    <w:rsid w:val="0FE94012"/>
    <w:rsid w:val="0FEDA7D7"/>
    <w:rsid w:val="0FF86ECB"/>
    <w:rsid w:val="0FFCF95F"/>
    <w:rsid w:val="10066D4B"/>
    <w:rsid w:val="10147844"/>
    <w:rsid w:val="1019C6CC"/>
    <w:rsid w:val="102CB567"/>
    <w:rsid w:val="102D0A7F"/>
    <w:rsid w:val="102D8A68"/>
    <w:rsid w:val="102EB767"/>
    <w:rsid w:val="1030F0A2"/>
    <w:rsid w:val="104768A7"/>
    <w:rsid w:val="104B10EF"/>
    <w:rsid w:val="10512C4C"/>
    <w:rsid w:val="10567C53"/>
    <w:rsid w:val="105D94F3"/>
    <w:rsid w:val="105EA643"/>
    <w:rsid w:val="106A4316"/>
    <w:rsid w:val="10722728"/>
    <w:rsid w:val="10759329"/>
    <w:rsid w:val="1080A372"/>
    <w:rsid w:val="1095EEAF"/>
    <w:rsid w:val="10990D4C"/>
    <w:rsid w:val="109AD19E"/>
    <w:rsid w:val="10A89789"/>
    <w:rsid w:val="10B26033"/>
    <w:rsid w:val="10B7FF3D"/>
    <w:rsid w:val="10CF25BD"/>
    <w:rsid w:val="10D8116A"/>
    <w:rsid w:val="10DE45FF"/>
    <w:rsid w:val="10EAA3C7"/>
    <w:rsid w:val="11027C4E"/>
    <w:rsid w:val="1103D6CF"/>
    <w:rsid w:val="1108887A"/>
    <w:rsid w:val="1109E301"/>
    <w:rsid w:val="110D16AC"/>
    <w:rsid w:val="111C9E5E"/>
    <w:rsid w:val="112707B8"/>
    <w:rsid w:val="11295195"/>
    <w:rsid w:val="112A9C43"/>
    <w:rsid w:val="1133212C"/>
    <w:rsid w:val="113D0C0E"/>
    <w:rsid w:val="113E885E"/>
    <w:rsid w:val="11436C1F"/>
    <w:rsid w:val="115C4811"/>
    <w:rsid w:val="116DDAF3"/>
    <w:rsid w:val="11774EC0"/>
    <w:rsid w:val="118997A7"/>
    <w:rsid w:val="11984AB0"/>
    <w:rsid w:val="11A7C478"/>
    <w:rsid w:val="11A90DDA"/>
    <w:rsid w:val="11BC359A"/>
    <w:rsid w:val="11C1B8D9"/>
    <w:rsid w:val="11D1DF13"/>
    <w:rsid w:val="11D50381"/>
    <w:rsid w:val="11DD3046"/>
    <w:rsid w:val="11E29CEA"/>
    <w:rsid w:val="11ECD1C9"/>
    <w:rsid w:val="11FECAA9"/>
    <w:rsid w:val="1203CC8F"/>
    <w:rsid w:val="121C47CF"/>
    <w:rsid w:val="121E2B79"/>
    <w:rsid w:val="12213120"/>
    <w:rsid w:val="12317493"/>
    <w:rsid w:val="123427F1"/>
    <w:rsid w:val="12468D2D"/>
    <w:rsid w:val="1247B5B9"/>
    <w:rsid w:val="12602009"/>
    <w:rsid w:val="126213A1"/>
    <w:rsid w:val="1263BB43"/>
    <w:rsid w:val="12671921"/>
    <w:rsid w:val="1268CAE4"/>
    <w:rsid w:val="12784114"/>
    <w:rsid w:val="1279447F"/>
    <w:rsid w:val="12806210"/>
    <w:rsid w:val="12817CEE"/>
    <w:rsid w:val="1287DEA6"/>
    <w:rsid w:val="128CEFFA"/>
    <w:rsid w:val="12A1DB5F"/>
    <w:rsid w:val="12A575F4"/>
    <w:rsid w:val="12AB0FAE"/>
    <w:rsid w:val="12B4A04C"/>
    <w:rsid w:val="12C00730"/>
    <w:rsid w:val="12C1E079"/>
    <w:rsid w:val="12C73074"/>
    <w:rsid w:val="12D29802"/>
    <w:rsid w:val="12E038C9"/>
    <w:rsid w:val="12E35830"/>
    <w:rsid w:val="12E77772"/>
    <w:rsid w:val="12E9F753"/>
    <w:rsid w:val="12FD7B08"/>
    <w:rsid w:val="1311A744"/>
    <w:rsid w:val="13157084"/>
    <w:rsid w:val="13178681"/>
    <w:rsid w:val="131A9D84"/>
    <w:rsid w:val="133DEA62"/>
    <w:rsid w:val="13426EB3"/>
    <w:rsid w:val="1350CEA8"/>
    <w:rsid w:val="135449F8"/>
    <w:rsid w:val="13573A9B"/>
    <w:rsid w:val="135E00D3"/>
    <w:rsid w:val="13606314"/>
    <w:rsid w:val="136DB268"/>
    <w:rsid w:val="1374B219"/>
    <w:rsid w:val="1379517E"/>
    <w:rsid w:val="13844184"/>
    <w:rsid w:val="13898132"/>
    <w:rsid w:val="138B01CC"/>
    <w:rsid w:val="139561B4"/>
    <w:rsid w:val="1395ED97"/>
    <w:rsid w:val="13BD1B77"/>
    <w:rsid w:val="13BEB99F"/>
    <w:rsid w:val="13C20165"/>
    <w:rsid w:val="13C234E9"/>
    <w:rsid w:val="13C2AB96"/>
    <w:rsid w:val="13D4C378"/>
    <w:rsid w:val="13F3BDEC"/>
    <w:rsid w:val="13FEDB93"/>
    <w:rsid w:val="14059EA6"/>
    <w:rsid w:val="1406832B"/>
    <w:rsid w:val="1406BB01"/>
    <w:rsid w:val="140BCFE0"/>
    <w:rsid w:val="140F4723"/>
    <w:rsid w:val="1416C704"/>
    <w:rsid w:val="141A7CE6"/>
    <w:rsid w:val="141D2C7B"/>
    <w:rsid w:val="142286C8"/>
    <w:rsid w:val="1425B447"/>
    <w:rsid w:val="1427C463"/>
    <w:rsid w:val="142BA085"/>
    <w:rsid w:val="142BF8C2"/>
    <w:rsid w:val="143097C7"/>
    <w:rsid w:val="14375C59"/>
    <w:rsid w:val="1438F782"/>
    <w:rsid w:val="143AE81B"/>
    <w:rsid w:val="143B32D6"/>
    <w:rsid w:val="1454019C"/>
    <w:rsid w:val="1457E3EC"/>
    <w:rsid w:val="1457EFF6"/>
    <w:rsid w:val="145CCD6E"/>
    <w:rsid w:val="14645947"/>
    <w:rsid w:val="146E3FA9"/>
    <w:rsid w:val="146EF168"/>
    <w:rsid w:val="1472AC9E"/>
    <w:rsid w:val="1493691D"/>
    <w:rsid w:val="149F3085"/>
    <w:rsid w:val="14AFBD2A"/>
    <w:rsid w:val="14D7F265"/>
    <w:rsid w:val="14EDBD0D"/>
    <w:rsid w:val="1503623D"/>
    <w:rsid w:val="150DEFD8"/>
    <w:rsid w:val="151D34D7"/>
    <w:rsid w:val="1523265E"/>
    <w:rsid w:val="1529B615"/>
    <w:rsid w:val="152C332D"/>
    <w:rsid w:val="152DB4DD"/>
    <w:rsid w:val="152DF52A"/>
    <w:rsid w:val="15301DA0"/>
    <w:rsid w:val="1536D120"/>
    <w:rsid w:val="15595742"/>
    <w:rsid w:val="155BF6CB"/>
    <w:rsid w:val="15640CC6"/>
    <w:rsid w:val="1564DB10"/>
    <w:rsid w:val="15719AF8"/>
    <w:rsid w:val="1578573C"/>
    <w:rsid w:val="1598F5DF"/>
    <w:rsid w:val="15A4A820"/>
    <w:rsid w:val="15AF6534"/>
    <w:rsid w:val="15B4DA93"/>
    <w:rsid w:val="15BF300F"/>
    <w:rsid w:val="15CF91EA"/>
    <w:rsid w:val="15D01401"/>
    <w:rsid w:val="15DA785F"/>
    <w:rsid w:val="15E30C62"/>
    <w:rsid w:val="15E7A043"/>
    <w:rsid w:val="15E7AC1A"/>
    <w:rsid w:val="15E88313"/>
    <w:rsid w:val="15F1E034"/>
    <w:rsid w:val="15FDEB48"/>
    <w:rsid w:val="15FEED6C"/>
    <w:rsid w:val="160F8956"/>
    <w:rsid w:val="1612E469"/>
    <w:rsid w:val="16322FEB"/>
    <w:rsid w:val="16329BE6"/>
    <w:rsid w:val="1637E742"/>
    <w:rsid w:val="16498243"/>
    <w:rsid w:val="1649BD27"/>
    <w:rsid w:val="1651CFB6"/>
    <w:rsid w:val="16535D45"/>
    <w:rsid w:val="1660888D"/>
    <w:rsid w:val="1666E863"/>
    <w:rsid w:val="16709635"/>
    <w:rsid w:val="1681FDA2"/>
    <w:rsid w:val="16857127"/>
    <w:rsid w:val="168FD4A2"/>
    <w:rsid w:val="1693EBF9"/>
    <w:rsid w:val="16AB5FAE"/>
    <w:rsid w:val="16B411A8"/>
    <w:rsid w:val="16BC4E3C"/>
    <w:rsid w:val="16C919E4"/>
    <w:rsid w:val="16DEE668"/>
    <w:rsid w:val="16EF4D0D"/>
    <w:rsid w:val="16F3085C"/>
    <w:rsid w:val="16F52877"/>
    <w:rsid w:val="16FD0127"/>
    <w:rsid w:val="16FF37A4"/>
    <w:rsid w:val="170C2D14"/>
    <w:rsid w:val="170D581A"/>
    <w:rsid w:val="171326FB"/>
    <w:rsid w:val="17152A2A"/>
    <w:rsid w:val="17157D4D"/>
    <w:rsid w:val="1719BEE9"/>
    <w:rsid w:val="17238009"/>
    <w:rsid w:val="1723DDDA"/>
    <w:rsid w:val="17243B28"/>
    <w:rsid w:val="1727B801"/>
    <w:rsid w:val="172EFA83"/>
    <w:rsid w:val="17328716"/>
    <w:rsid w:val="1739FB5D"/>
    <w:rsid w:val="173F99AE"/>
    <w:rsid w:val="1741254A"/>
    <w:rsid w:val="17444289"/>
    <w:rsid w:val="176FAE6A"/>
    <w:rsid w:val="1772E0A0"/>
    <w:rsid w:val="1777D94A"/>
    <w:rsid w:val="178A0D13"/>
    <w:rsid w:val="178C09AA"/>
    <w:rsid w:val="179E7970"/>
    <w:rsid w:val="17A01DCA"/>
    <w:rsid w:val="17A4B1B1"/>
    <w:rsid w:val="17A834EB"/>
    <w:rsid w:val="17AA2ECC"/>
    <w:rsid w:val="17B0514F"/>
    <w:rsid w:val="17C20B1C"/>
    <w:rsid w:val="17D25347"/>
    <w:rsid w:val="17D53614"/>
    <w:rsid w:val="17D65923"/>
    <w:rsid w:val="17D9A72B"/>
    <w:rsid w:val="17E6BD47"/>
    <w:rsid w:val="17E9A19A"/>
    <w:rsid w:val="17ED2D53"/>
    <w:rsid w:val="17ED76AC"/>
    <w:rsid w:val="17F07286"/>
    <w:rsid w:val="1802C30E"/>
    <w:rsid w:val="1812402A"/>
    <w:rsid w:val="1814BD58"/>
    <w:rsid w:val="18152540"/>
    <w:rsid w:val="1815D457"/>
    <w:rsid w:val="1821FB6B"/>
    <w:rsid w:val="18312FA1"/>
    <w:rsid w:val="1839C7C3"/>
    <w:rsid w:val="183AF85B"/>
    <w:rsid w:val="184A8FEF"/>
    <w:rsid w:val="186F0673"/>
    <w:rsid w:val="18807C69"/>
    <w:rsid w:val="1883166B"/>
    <w:rsid w:val="18849A6C"/>
    <w:rsid w:val="188C3340"/>
    <w:rsid w:val="1893DFD6"/>
    <w:rsid w:val="1898A7CA"/>
    <w:rsid w:val="189B5ED1"/>
    <w:rsid w:val="18A41ED6"/>
    <w:rsid w:val="18A70502"/>
    <w:rsid w:val="18ADC991"/>
    <w:rsid w:val="18B53017"/>
    <w:rsid w:val="18C56BBD"/>
    <w:rsid w:val="18CCC1D7"/>
    <w:rsid w:val="18CDFC78"/>
    <w:rsid w:val="18CFF242"/>
    <w:rsid w:val="18E00A5D"/>
    <w:rsid w:val="18E36122"/>
    <w:rsid w:val="190346E6"/>
    <w:rsid w:val="1904961B"/>
    <w:rsid w:val="1910B2AA"/>
    <w:rsid w:val="191DBD0B"/>
    <w:rsid w:val="1922B4F2"/>
    <w:rsid w:val="192E8FA2"/>
    <w:rsid w:val="193688C7"/>
    <w:rsid w:val="193B9D15"/>
    <w:rsid w:val="1961F58B"/>
    <w:rsid w:val="197867AC"/>
    <w:rsid w:val="198F6D1C"/>
    <w:rsid w:val="19A1973A"/>
    <w:rsid w:val="19B1EDE0"/>
    <w:rsid w:val="19B24A94"/>
    <w:rsid w:val="19BA57FF"/>
    <w:rsid w:val="19BD98B3"/>
    <w:rsid w:val="19BEDA54"/>
    <w:rsid w:val="19C9C6EA"/>
    <w:rsid w:val="19D5F438"/>
    <w:rsid w:val="19D622FA"/>
    <w:rsid w:val="19D96F89"/>
    <w:rsid w:val="19E7EB33"/>
    <w:rsid w:val="19EAFD54"/>
    <w:rsid w:val="19FA865C"/>
    <w:rsid w:val="19FC99C2"/>
    <w:rsid w:val="19FCB6B3"/>
    <w:rsid w:val="1A033A3E"/>
    <w:rsid w:val="1A077AA0"/>
    <w:rsid w:val="1A1B77C2"/>
    <w:rsid w:val="1A1E6233"/>
    <w:rsid w:val="1A281C16"/>
    <w:rsid w:val="1A2A7BF8"/>
    <w:rsid w:val="1A35917D"/>
    <w:rsid w:val="1A38D803"/>
    <w:rsid w:val="1A3EB522"/>
    <w:rsid w:val="1A4CB880"/>
    <w:rsid w:val="1A4D5C22"/>
    <w:rsid w:val="1A5258DB"/>
    <w:rsid w:val="1A56AA8B"/>
    <w:rsid w:val="1A58E4FC"/>
    <w:rsid w:val="1A63127F"/>
    <w:rsid w:val="1A69079E"/>
    <w:rsid w:val="1A6DFC8B"/>
    <w:rsid w:val="1A73895F"/>
    <w:rsid w:val="1A8089DF"/>
    <w:rsid w:val="1A93F12C"/>
    <w:rsid w:val="1AA00DE9"/>
    <w:rsid w:val="1AA72D13"/>
    <w:rsid w:val="1AB3FE81"/>
    <w:rsid w:val="1AB86B42"/>
    <w:rsid w:val="1ABCF9C8"/>
    <w:rsid w:val="1ABEED64"/>
    <w:rsid w:val="1ACA1202"/>
    <w:rsid w:val="1ACA25FE"/>
    <w:rsid w:val="1AD6BCC6"/>
    <w:rsid w:val="1AE0A0D5"/>
    <w:rsid w:val="1AE8D9B8"/>
    <w:rsid w:val="1AF73E95"/>
    <w:rsid w:val="1AF9FF7C"/>
    <w:rsid w:val="1B0DEE89"/>
    <w:rsid w:val="1B0EAF69"/>
    <w:rsid w:val="1B1929A2"/>
    <w:rsid w:val="1B1DE64C"/>
    <w:rsid w:val="1B2769C6"/>
    <w:rsid w:val="1B34F164"/>
    <w:rsid w:val="1B403E39"/>
    <w:rsid w:val="1B4C9E42"/>
    <w:rsid w:val="1B51EC99"/>
    <w:rsid w:val="1B6E5AAD"/>
    <w:rsid w:val="1B6ECA06"/>
    <w:rsid w:val="1B73CA97"/>
    <w:rsid w:val="1B75265A"/>
    <w:rsid w:val="1B989977"/>
    <w:rsid w:val="1B9A3E17"/>
    <w:rsid w:val="1BAA11C7"/>
    <w:rsid w:val="1BAEAAFA"/>
    <w:rsid w:val="1BB5C0D1"/>
    <w:rsid w:val="1BBDB9D1"/>
    <w:rsid w:val="1BD1D848"/>
    <w:rsid w:val="1BEAFE12"/>
    <w:rsid w:val="1BF8FF0B"/>
    <w:rsid w:val="1C031536"/>
    <w:rsid w:val="1C048664"/>
    <w:rsid w:val="1C057977"/>
    <w:rsid w:val="1C1A8B4C"/>
    <w:rsid w:val="1C23241B"/>
    <w:rsid w:val="1C23F6B8"/>
    <w:rsid w:val="1C2EF343"/>
    <w:rsid w:val="1C30CA72"/>
    <w:rsid w:val="1C391F27"/>
    <w:rsid w:val="1C59EA2D"/>
    <w:rsid w:val="1C5EADAD"/>
    <w:rsid w:val="1C613780"/>
    <w:rsid w:val="1C65DAD9"/>
    <w:rsid w:val="1C683768"/>
    <w:rsid w:val="1C6F5220"/>
    <w:rsid w:val="1C71FFCA"/>
    <w:rsid w:val="1C7711FA"/>
    <w:rsid w:val="1C7D63D5"/>
    <w:rsid w:val="1C7F84C9"/>
    <w:rsid w:val="1C8341B5"/>
    <w:rsid w:val="1C8DA3D8"/>
    <w:rsid w:val="1C9508BF"/>
    <w:rsid w:val="1C96A64E"/>
    <w:rsid w:val="1C98537F"/>
    <w:rsid w:val="1C99E6F6"/>
    <w:rsid w:val="1C9E315C"/>
    <w:rsid w:val="1CA9F379"/>
    <w:rsid w:val="1CAE5DA0"/>
    <w:rsid w:val="1CB06414"/>
    <w:rsid w:val="1CB0C80F"/>
    <w:rsid w:val="1CB37F45"/>
    <w:rsid w:val="1CC550F0"/>
    <w:rsid w:val="1CCE5FF2"/>
    <w:rsid w:val="1CD0208C"/>
    <w:rsid w:val="1CDFD5D4"/>
    <w:rsid w:val="1CE1115D"/>
    <w:rsid w:val="1CE21001"/>
    <w:rsid w:val="1CE220B3"/>
    <w:rsid w:val="1CEABA0E"/>
    <w:rsid w:val="1CF087F6"/>
    <w:rsid w:val="1D10A726"/>
    <w:rsid w:val="1D27B649"/>
    <w:rsid w:val="1D35A462"/>
    <w:rsid w:val="1D439AEC"/>
    <w:rsid w:val="1D5670B4"/>
    <w:rsid w:val="1D663F02"/>
    <w:rsid w:val="1D7464B8"/>
    <w:rsid w:val="1D7DCA30"/>
    <w:rsid w:val="1D965E0D"/>
    <w:rsid w:val="1D98B2F0"/>
    <w:rsid w:val="1DA71793"/>
    <w:rsid w:val="1DA78834"/>
    <w:rsid w:val="1DE9DA47"/>
    <w:rsid w:val="1DEB1700"/>
    <w:rsid w:val="1DF7B6E4"/>
    <w:rsid w:val="1E10B05D"/>
    <w:rsid w:val="1E1387B3"/>
    <w:rsid w:val="1E27A258"/>
    <w:rsid w:val="1E2E33C2"/>
    <w:rsid w:val="1E37FA18"/>
    <w:rsid w:val="1E3DFF42"/>
    <w:rsid w:val="1E55A3CA"/>
    <w:rsid w:val="1E5FB86C"/>
    <w:rsid w:val="1E69DB93"/>
    <w:rsid w:val="1E7A0831"/>
    <w:rsid w:val="1E7A18D5"/>
    <w:rsid w:val="1E81327B"/>
    <w:rsid w:val="1E8857E9"/>
    <w:rsid w:val="1E9133A4"/>
    <w:rsid w:val="1E9B6241"/>
    <w:rsid w:val="1EA39F66"/>
    <w:rsid w:val="1EAC0972"/>
    <w:rsid w:val="1EADDC56"/>
    <w:rsid w:val="1EBFAABF"/>
    <w:rsid w:val="1EC15ABC"/>
    <w:rsid w:val="1EC68EB1"/>
    <w:rsid w:val="1EC82B54"/>
    <w:rsid w:val="1ED95F70"/>
    <w:rsid w:val="1EE2E716"/>
    <w:rsid w:val="1EFA482E"/>
    <w:rsid w:val="1F0E6B51"/>
    <w:rsid w:val="1F10DDE4"/>
    <w:rsid w:val="1F1AB19F"/>
    <w:rsid w:val="1F1BF794"/>
    <w:rsid w:val="1F322489"/>
    <w:rsid w:val="1F3A5077"/>
    <w:rsid w:val="1F3F518D"/>
    <w:rsid w:val="1F52679B"/>
    <w:rsid w:val="1F5BDEBF"/>
    <w:rsid w:val="1F61361C"/>
    <w:rsid w:val="1F63A768"/>
    <w:rsid w:val="1F65523D"/>
    <w:rsid w:val="1F65669F"/>
    <w:rsid w:val="1F6E3E7A"/>
    <w:rsid w:val="1F719840"/>
    <w:rsid w:val="1F7280A2"/>
    <w:rsid w:val="1F7DB768"/>
    <w:rsid w:val="1F7E2368"/>
    <w:rsid w:val="1F803F14"/>
    <w:rsid w:val="1F865C80"/>
    <w:rsid w:val="1F880BA6"/>
    <w:rsid w:val="1F96B942"/>
    <w:rsid w:val="1F9D5311"/>
    <w:rsid w:val="1FA093F0"/>
    <w:rsid w:val="1FA3E8DA"/>
    <w:rsid w:val="1FB04070"/>
    <w:rsid w:val="1FB96E16"/>
    <w:rsid w:val="1FCA9246"/>
    <w:rsid w:val="1FCBF8EE"/>
    <w:rsid w:val="1FD7FBAA"/>
    <w:rsid w:val="1FDC7661"/>
    <w:rsid w:val="1FE30A18"/>
    <w:rsid w:val="1FE33BD3"/>
    <w:rsid w:val="1FE3D896"/>
    <w:rsid w:val="1FE83475"/>
    <w:rsid w:val="1FEC2162"/>
    <w:rsid w:val="1FF28383"/>
    <w:rsid w:val="20116EA0"/>
    <w:rsid w:val="201CC090"/>
    <w:rsid w:val="201F2B19"/>
    <w:rsid w:val="201FA245"/>
    <w:rsid w:val="20208721"/>
    <w:rsid w:val="202D2805"/>
    <w:rsid w:val="202FFA9C"/>
    <w:rsid w:val="203D4D2B"/>
    <w:rsid w:val="203F119D"/>
    <w:rsid w:val="203FF133"/>
    <w:rsid w:val="20446308"/>
    <w:rsid w:val="2048BBC6"/>
    <w:rsid w:val="204A7ED8"/>
    <w:rsid w:val="204E3BE7"/>
    <w:rsid w:val="2057763D"/>
    <w:rsid w:val="205CD5D8"/>
    <w:rsid w:val="205FACCA"/>
    <w:rsid w:val="2062C179"/>
    <w:rsid w:val="2064DA71"/>
    <w:rsid w:val="206CFBE2"/>
    <w:rsid w:val="2079145D"/>
    <w:rsid w:val="20810F11"/>
    <w:rsid w:val="20859472"/>
    <w:rsid w:val="208D86CC"/>
    <w:rsid w:val="209498F0"/>
    <w:rsid w:val="20B120E8"/>
    <w:rsid w:val="20B6BF17"/>
    <w:rsid w:val="20B79A03"/>
    <w:rsid w:val="20BA4789"/>
    <w:rsid w:val="20C46704"/>
    <w:rsid w:val="20CFBA8F"/>
    <w:rsid w:val="21096EC5"/>
    <w:rsid w:val="211ABF16"/>
    <w:rsid w:val="21243AB3"/>
    <w:rsid w:val="212CEFE4"/>
    <w:rsid w:val="217F9F00"/>
    <w:rsid w:val="217FF406"/>
    <w:rsid w:val="2187E9B2"/>
    <w:rsid w:val="21968750"/>
    <w:rsid w:val="2197921B"/>
    <w:rsid w:val="219946C8"/>
    <w:rsid w:val="21DA9C12"/>
    <w:rsid w:val="21E2785A"/>
    <w:rsid w:val="21EBAA9D"/>
    <w:rsid w:val="21F5569D"/>
    <w:rsid w:val="21F73C6B"/>
    <w:rsid w:val="220ED9A4"/>
    <w:rsid w:val="2215D40F"/>
    <w:rsid w:val="221A0549"/>
    <w:rsid w:val="221A14AD"/>
    <w:rsid w:val="2225944E"/>
    <w:rsid w:val="2230B7B8"/>
    <w:rsid w:val="224251C4"/>
    <w:rsid w:val="22451CB0"/>
    <w:rsid w:val="2246EAF8"/>
    <w:rsid w:val="224A6A3E"/>
    <w:rsid w:val="224B4DE7"/>
    <w:rsid w:val="225ADD27"/>
    <w:rsid w:val="225B6886"/>
    <w:rsid w:val="226A9BA3"/>
    <w:rsid w:val="22723D9F"/>
    <w:rsid w:val="227A58BA"/>
    <w:rsid w:val="227CD697"/>
    <w:rsid w:val="22849A3C"/>
    <w:rsid w:val="22A1E4FD"/>
    <w:rsid w:val="22A6B8CB"/>
    <w:rsid w:val="22AF03D3"/>
    <w:rsid w:val="22B1805C"/>
    <w:rsid w:val="22B62FE5"/>
    <w:rsid w:val="22BD40AB"/>
    <w:rsid w:val="22BE9F76"/>
    <w:rsid w:val="22CA2101"/>
    <w:rsid w:val="22CDA35F"/>
    <w:rsid w:val="22DA53E8"/>
    <w:rsid w:val="22EE9ADC"/>
    <w:rsid w:val="22F1A55B"/>
    <w:rsid w:val="22F62FA6"/>
    <w:rsid w:val="22F9CF13"/>
    <w:rsid w:val="23094131"/>
    <w:rsid w:val="230EC395"/>
    <w:rsid w:val="23128FDB"/>
    <w:rsid w:val="23199C2E"/>
    <w:rsid w:val="23223EBE"/>
    <w:rsid w:val="232C2CC2"/>
    <w:rsid w:val="232D0D59"/>
    <w:rsid w:val="23352F7B"/>
    <w:rsid w:val="2339C9FC"/>
    <w:rsid w:val="233EEDCA"/>
    <w:rsid w:val="23415837"/>
    <w:rsid w:val="2343E84C"/>
    <w:rsid w:val="23467825"/>
    <w:rsid w:val="236B140E"/>
    <w:rsid w:val="236EA6C7"/>
    <w:rsid w:val="23771ECE"/>
    <w:rsid w:val="237F71D5"/>
    <w:rsid w:val="239AAB01"/>
    <w:rsid w:val="23B9B5FB"/>
    <w:rsid w:val="23CBB6E5"/>
    <w:rsid w:val="23CCDF7F"/>
    <w:rsid w:val="23D108DD"/>
    <w:rsid w:val="23D7B1CD"/>
    <w:rsid w:val="23E1D1F4"/>
    <w:rsid w:val="23E4787E"/>
    <w:rsid w:val="23E91DF2"/>
    <w:rsid w:val="23F14540"/>
    <w:rsid w:val="240CCE62"/>
    <w:rsid w:val="24104FE6"/>
    <w:rsid w:val="241141B4"/>
    <w:rsid w:val="241764FD"/>
    <w:rsid w:val="241BFACC"/>
    <w:rsid w:val="241ED4F2"/>
    <w:rsid w:val="2433CF6F"/>
    <w:rsid w:val="243A4702"/>
    <w:rsid w:val="243C6F17"/>
    <w:rsid w:val="2447147C"/>
    <w:rsid w:val="245574F7"/>
    <w:rsid w:val="24557B6B"/>
    <w:rsid w:val="2459F931"/>
    <w:rsid w:val="245AE1EB"/>
    <w:rsid w:val="245BD65F"/>
    <w:rsid w:val="2461E74C"/>
    <w:rsid w:val="246B426C"/>
    <w:rsid w:val="247C5990"/>
    <w:rsid w:val="2485F763"/>
    <w:rsid w:val="248AA30C"/>
    <w:rsid w:val="248D14F3"/>
    <w:rsid w:val="24938F3E"/>
    <w:rsid w:val="2493AEB6"/>
    <w:rsid w:val="24AE0A22"/>
    <w:rsid w:val="24AE82E2"/>
    <w:rsid w:val="24B47435"/>
    <w:rsid w:val="24C585DA"/>
    <w:rsid w:val="24CB79F5"/>
    <w:rsid w:val="24CDF901"/>
    <w:rsid w:val="24CF0BC7"/>
    <w:rsid w:val="24D15A71"/>
    <w:rsid w:val="24DA257B"/>
    <w:rsid w:val="25093F66"/>
    <w:rsid w:val="250A76A4"/>
    <w:rsid w:val="2510D1C9"/>
    <w:rsid w:val="25143B2A"/>
    <w:rsid w:val="253D9014"/>
    <w:rsid w:val="2547185C"/>
    <w:rsid w:val="254EA890"/>
    <w:rsid w:val="2554070B"/>
    <w:rsid w:val="25645A3D"/>
    <w:rsid w:val="2566967E"/>
    <w:rsid w:val="256972A8"/>
    <w:rsid w:val="25747F46"/>
    <w:rsid w:val="257B8ACB"/>
    <w:rsid w:val="2582583B"/>
    <w:rsid w:val="258A67F9"/>
    <w:rsid w:val="259CE952"/>
    <w:rsid w:val="25A34BA0"/>
    <w:rsid w:val="25A3F5C7"/>
    <w:rsid w:val="25C10790"/>
    <w:rsid w:val="25C706AA"/>
    <w:rsid w:val="25C88771"/>
    <w:rsid w:val="25CCAE82"/>
    <w:rsid w:val="25CCCD03"/>
    <w:rsid w:val="25CFBFF3"/>
    <w:rsid w:val="25D5EE97"/>
    <w:rsid w:val="25DF64E3"/>
    <w:rsid w:val="25E27715"/>
    <w:rsid w:val="25E42A08"/>
    <w:rsid w:val="25EF9FDF"/>
    <w:rsid w:val="26131818"/>
    <w:rsid w:val="26145963"/>
    <w:rsid w:val="261A0C77"/>
    <w:rsid w:val="262007D3"/>
    <w:rsid w:val="2628F1D4"/>
    <w:rsid w:val="26291AE8"/>
    <w:rsid w:val="262ADB80"/>
    <w:rsid w:val="26353B34"/>
    <w:rsid w:val="26359ED5"/>
    <w:rsid w:val="26405BCC"/>
    <w:rsid w:val="2656B433"/>
    <w:rsid w:val="2659DDB0"/>
    <w:rsid w:val="2667035D"/>
    <w:rsid w:val="26720777"/>
    <w:rsid w:val="26743D6F"/>
    <w:rsid w:val="26748AC4"/>
    <w:rsid w:val="26790D87"/>
    <w:rsid w:val="267E11CB"/>
    <w:rsid w:val="267ED39E"/>
    <w:rsid w:val="26ACD62E"/>
    <w:rsid w:val="26B63F09"/>
    <w:rsid w:val="26C2D7AF"/>
    <w:rsid w:val="26C57E55"/>
    <w:rsid w:val="26CAC5BA"/>
    <w:rsid w:val="26CD8E62"/>
    <w:rsid w:val="26D202B8"/>
    <w:rsid w:val="26DDB625"/>
    <w:rsid w:val="26E623D4"/>
    <w:rsid w:val="26E95D23"/>
    <w:rsid w:val="26FFA516"/>
    <w:rsid w:val="27007A98"/>
    <w:rsid w:val="27011793"/>
    <w:rsid w:val="27024886"/>
    <w:rsid w:val="270685A3"/>
    <w:rsid w:val="2719DD8F"/>
    <w:rsid w:val="271BE24D"/>
    <w:rsid w:val="272D047F"/>
    <w:rsid w:val="272D891A"/>
    <w:rsid w:val="27387D2D"/>
    <w:rsid w:val="27449E54"/>
    <w:rsid w:val="2761DE6A"/>
    <w:rsid w:val="277E3486"/>
    <w:rsid w:val="27815F0D"/>
    <w:rsid w:val="278DF559"/>
    <w:rsid w:val="27A5021F"/>
    <w:rsid w:val="27BDD7D6"/>
    <w:rsid w:val="27C1CC90"/>
    <w:rsid w:val="27CA964B"/>
    <w:rsid w:val="27CBE3A8"/>
    <w:rsid w:val="27D7E14C"/>
    <w:rsid w:val="27E2905E"/>
    <w:rsid w:val="27F0B72A"/>
    <w:rsid w:val="2806DD09"/>
    <w:rsid w:val="280E982D"/>
    <w:rsid w:val="280EF499"/>
    <w:rsid w:val="282D86EC"/>
    <w:rsid w:val="282E55E3"/>
    <w:rsid w:val="283128C8"/>
    <w:rsid w:val="2842F822"/>
    <w:rsid w:val="284E5CE1"/>
    <w:rsid w:val="284EF7A7"/>
    <w:rsid w:val="2851F624"/>
    <w:rsid w:val="285770C2"/>
    <w:rsid w:val="285962E1"/>
    <w:rsid w:val="285C8C9B"/>
    <w:rsid w:val="286217CE"/>
    <w:rsid w:val="28770846"/>
    <w:rsid w:val="2883A80D"/>
    <w:rsid w:val="2886CF4D"/>
    <w:rsid w:val="2895CE80"/>
    <w:rsid w:val="2899D903"/>
    <w:rsid w:val="28B81558"/>
    <w:rsid w:val="28B880A1"/>
    <w:rsid w:val="28B9DB42"/>
    <w:rsid w:val="28E7E061"/>
    <w:rsid w:val="28F00C53"/>
    <w:rsid w:val="290404F5"/>
    <w:rsid w:val="2906C42D"/>
    <w:rsid w:val="2908113A"/>
    <w:rsid w:val="2912B310"/>
    <w:rsid w:val="29199474"/>
    <w:rsid w:val="29239C48"/>
    <w:rsid w:val="292956AF"/>
    <w:rsid w:val="292F3045"/>
    <w:rsid w:val="294362CF"/>
    <w:rsid w:val="294413E3"/>
    <w:rsid w:val="29464E4C"/>
    <w:rsid w:val="29468D37"/>
    <w:rsid w:val="2946BCAD"/>
    <w:rsid w:val="294AAB54"/>
    <w:rsid w:val="294E3AD3"/>
    <w:rsid w:val="2962F7A7"/>
    <w:rsid w:val="296801B9"/>
    <w:rsid w:val="296A0D8A"/>
    <w:rsid w:val="297EA832"/>
    <w:rsid w:val="2981072B"/>
    <w:rsid w:val="298A0D2C"/>
    <w:rsid w:val="298D0689"/>
    <w:rsid w:val="299B81FA"/>
    <w:rsid w:val="29A0F8AC"/>
    <w:rsid w:val="29AB3E68"/>
    <w:rsid w:val="29AD3E80"/>
    <w:rsid w:val="29AF67CB"/>
    <w:rsid w:val="29B2144E"/>
    <w:rsid w:val="29B8D2F9"/>
    <w:rsid w:val="29B8E9FE"/>
    <w:rsid w:val="29BBD642"/>
    <w:rsid w:val="29C9321C"/>
    <w:rsid w:val="29CEE284"/>
    <w:rsid w:val="29D7B1E0"/>
    <w:rsid w:val="29DC5A52"/>
    <w:rsid w:val="29E6AE58"/>
    <w:rsid w:val="2A068336"/>
    <w:rsid w:val="2A1FEB7E"/>
    <w:rsid w:val="2A24C437"/>
    <w:rsid w:val="2A405474"/>
    <w:rsid w:val="2A55F44F"/>
    <w:rsid w:val="2A6F517A"/>
    <w:rsid w:val="2A91CF9D"/>
    <w:rsid w:val="2A920EF9"/>
    <w:rsid w:val="2A94B0E3"/>
    <w:rsid w:val="2A96B31F"/>
    <w:rsid w:val="2A98DA5F"/>
    <w:rsid w:val="2AA46279"/>
    <w:rsid w:val="2AC1C2A8"/>
    <w:rsid w:val="2AEF68EC"/>
    <w:rsid w:val="2B040357"/>
    <w:rsid w:val="2B137908"/>
    <w:rsid w:val="2B1EFB83"/>
    <w:rsid w:val="2B347026"/>
    <w:rsid w:val="2B37CA2D"/>
    <w:rsid w:val="2B414AD4"/>
    <w:rsid w:val="2B41AAB3"/>
    <w:rsid w:val="2B447622"/>
    <w:rsid w:val="2B4BDF8B"/>
    <w:rsid w:val="2B4FBB37"/>
    <w:rsid w:val="2B63FCC2"/>
    <w:rsid w:val="2B6B8902"/>
    <w:rsid w:val="2B6BC98C"/>
    <w:rsid w:val="2B743587"/>
    <w:rsid w:val="2B748784"/>
    <w:rsid w:val="2B790718"/>
    <w:rsid w:val="2B7B995F"/>
    <w:rsid w:val="2B808148"/>
    <w:rsid w:val="2B960E49"/>
    <w:rsid w:val="2B99F01C"/>
    <w:rsid w:val="2B9D2F42"/>
    <w:rsid w:val="2BA2EDA8"/>
    <w:rsid w:val="2BB85377"/>
    <w:rsid w:val="2BBCEB45"/>
    <w:rsid w:val="2BBD0C1A"/>
    <w:rsid w:val="2BC7D068"/>
    <w:rsid w:val="2BD1C579"/>
    <w:rsid w:val="2BD56A83"/>
    <w:rsid w:val="2BE3C5A3"/>
    <w:rsid w:val="2BE6D1DF"/>
    <w:rsid w:val="2BEAB489"/>
    <w:rsid w:val="2BF6C12F"/>
    <w:rsid w:val="2BFA39DD"/>
    <w:rsid w:val="2BFBB869"/>
    <w:rsid w:val="2BFF2160"/>
    <w:rsid w:val="2BFF5B97"/>
    <w:rsid w:val="2C03096C"/>
    <w:rsid w:val="2C0B3531"/>
    <w:rsid w:val="2C291389"/>
    <w:rsid w:val="2C2A3821"/>
    <w:rsid w:val="2C3FCE8F"/>
    <w:rsid w:val="2C3FE8CE"/>
    <w:rsid w:val="2C47CF0C"/>
    <w:rsid w:val="2C5776B9"/>
    <w:rsid w:val="2C63BD9F"/>
    <w:rsid w:val="2C68DBE2"/>
    <w:rsid w:val="2C68DEA5"/>
    <w:rsid w:val="2C6B2AAA"/>
    <w:rsid w:val="2C6EA1F4"/>
    <w:rsid w:val="2C70D927"/>
    <w:rsid w:val="2C752C7C"/>
    <w:rsid w:val="2C7AC217"/>
    <w:rsid w:val="2C973330"/>
    <w:rsid w:val="2C9D1285"/>
    <w:rsid w:val="2C9DC98F"/>
    <w:rsid w:val="2CA607A5"/>
    <w:rsid w:val="2CA7342A"/>
    <w:rsid w:val="2CAC85AE"/>
    <w:rsid w:val="2CAFD08A"/>
    <w:rsid w:val="2CB5D942"/>
    <w:rsid w:val="2CC81331"/>
    <w:rsid w:val="2CCC5872"/>
    <w:rsid w:val="2CD8A7F9"/>
    <w:rsid w:val="2CE35E8F"/>
    <w:rsid w:val="2CE4657C"/>
    <w:rsid w:val="2CE7CD68"/>
    <w:rsid w:val="2CF940AB"/>
    <w:rsid w:val="2CFA799D"/>
    <w:rsid w:val="2D065F03"/>
    <w:rsid w:val="2D172D6C"/>
    <w:rsid w:val="2D1ACA49"/>
    <w:rsid w:val="2D20CF83"/>
    <w:rsid w:val="2D2B55F6"/>
    <w:rsid w:val="2D38B603"/>
    <w:rsid w:val="2D4380F3"/>
    <w:rsid w:val="2D58043B"/>
    <w:rsid w:val="2D61E101"/>
    <w:rsid w:val="2D640885"/>
    <w:rsid w:val="2D65ACD7"/>
    <w:rsid w:val="2D76F64A"/>
    <w:rsid w:val="2D89DE23"/>
    <w:rsid w:val="2D98C3FA"/>
    <w:rsid w:val="2DAFCA30"/>
    <w:rsid w:val="2DB7362A"/>
    <w:rsid w:val="2DCB4B5B"/>
    <w:rsid w:val="2DDCE2EC"/>
    <w:rsid w:val="2DE4AD5A"/>
    <w:rsid w:val="2DF2BB01"/>
    <w:rsid w:val="2DF67E84"/>
    <w:rsid w:val="2DF749F0"/>
    <w:rsid w:val="2E062B15"/>
    <w:rsid w:val="2E12A593"/>
    <w:rsid w:val="2E22B819"/>
    <w:rsid w:val="2E36DD16"/>
    <w:rsid w:val="2E470556"/>
    <w:rsid w:val="2E539F02"/>
    <w:rsid w:val="2E5A1832"/>
    <w:rsid w:val="2E5A4C9A"/>
    <w:rsid w:val="2E5B36F9"/>
    <w:rsid w:val="2E5FA783"/>
    <w:rsid w:val="2E62BF13"/>
    <w:rsid w:val="2E65680E"/>
    <w:rsid w:val="2E7A99C1"/>
    <w:rsid w:val="2E7AC32F"/>
    <w:rsid w:val="2E7AEC8D"/>
    <w:rsid w:val="2E7DD0DC"/>
    <w:rsid w:val="2E842DA2"/>
    <w:rsid w:val="2E8DD3B3"/>
    <w:rsid w:val="2E8E1016"/>
    <w:rsid w:val="2E984E23"/>
    <w:rsid w:val="2EA5865E"/>
    <w:rsid w:val="2EADE09A"/>
    <w:rsid w:val="2EB413D5"/>
    <w:rsid w:val="2ECE7FC7"/>
    <w:rsid w:val="2ED52912"/>
    <w:rsid w:val="2EDD1190"/>
    <w:rsid w:val="2EE813F3"/>
    <w:rsid w:val="2EF74FF4"/>
    <w:rsid w:val="2EFED77C"/>
    <w:rsid w:val="2F026110"/>
    <w:rsid w:val="2F0DEB50"/>
    <w:rsid w:val="2F141F6E"/>
    <w:rsid w:val="2F18E233"/>
    <w:rsid w:val="2F34BB26"/>
    <w:rsid w:val="2F3BAAB6"/>
    <w:rsid w:val="2F422F0F"/>
    <w:rsid w:val="2F4650BC"/>
    <w:rsid w:val="2F4A3ABC"/>
    <w:rsid w:val="2F52D129"/>
    <w:rsid w:val="2F5658B0"/>
    <w:rsid w:val="2F5E6609"/>
    <w:rsid w:val="2F6813A1"/>
    <w:rsid w:val="2F74E4BC"/>
    <w:rsid w:val="2F7B1557"/>
    <w:rsid w:val="2F7BF254"/>
    <w:rsid w:val="2F8C5777"/>
    <w:rsid w:val="2F9BF468"/>
    <w:rsid w:val="2FA9706B"/>
    <w:rsid w:val="2FAAA902"/>
    <w:rsid w:val="2FC205D5"/>
    <w:rsid w:val="2FD06D88"/>
    <w:rsid w:val="2FE5813A"/>
    <w:rsid w:val="2FF533A0"/>
    <w:rsid w:val="2FF94D63"/>
    <w:rsid w:val="2FFC5A7D"/>
    <w:rsid w:val="3005E2F7"/>
    <w:rsid w:val="30087E1E"/>
    <w:rsid w:val="3009114E"/>
    <w:rsid w:val="300E7EE0"/>
    <w:rsid w:val="301EDBCD"/>
    <w:rsid w:val="3030ADAB"/>
    <w:rsid w:val="303A5D09"/>
    <w:rsid w:val="303B5A1F"/>
    <w:rsid w:val="303D14CA"/>
    <w:rsid w:val="304403D5"/>
    <w:rsid w:val="3052E600"/>
    <w:rsid w:val="305E3944"/>
    <w:rsid w:val="306359CA"/>
    <w:rsid w:val="30660449"/>
    <w:rsid w:val="306CD22F"/>
    <w:rsid w:val="307AC4A5"/>
    <w:rsid w:val="307CE577"/>
    <w:rsid w:val="307D28BF"/>
    <w:rsid w:val="307D3734"/>
    <w:rsid w:val="3081CD81"/>
    <w:rsid w:val="308E1ECF"/>
    <w:rsid w:val="3096B9F2"/>
    <w:rsid w:val="309E8AD4"/>
    <w:rsid w:val="30C13558"/>
    <w:rsid w:val="30DF4477"/>
    <w:rsid w:val="31058D56"/>
    <w:rsid w:val="310BEA44"/>
    <w:rsid w:val="3119BFCE"/>
    <w:rsid w:val="312FD0CA"/>
    <w:rsid w:val="3133C001"/>
    <w:rsid w:val="31351214"/>
    <w:rsid w:val="3136469A"/>
    <w:rsid w:val="313DE9CE"/>
    <w:rsid w:val="3140603B"/>
    <w:rsid w:val="3146891D"/>
    <w:rsid w:val="31486E7C"/>
    <w:rsid w:val="31488717"/>
    <w:rsid w:val="3175668B"/>
    <w:rsid w:val="317B5ACD"/>
    <w:rsid w:val="317DF66F"/>
    <w:rsid w:val="3180E7A5"/>
    <w:rsid w:val="3181EB47"/>
    <w:rsid w:val="3187CD0E"/>
    <w:rsid w:val="3189339A"/>
    <w:rsid w:val="318E10B9"/>
    <w:rsid w:val="3190C470"/>
    <w:rsid w:val="3195F863"/>
    <w:rsid w:val="319BF2A3"/>
    <w:rsid w:val="31A193D1"/>
    <w:rsid w:val="31A4E366"/>
    <w:rsid w:val="31A77480"/>
    <w:rsid w:val="31ADA1DF"/>
    <w:rsid w:val="31B45CF4"/>
    <w:rsid w:val="31B56023"/>
    <w:rsid w:val="31BC0EA1"/>
    <w:rsid w:val="31C3AE81"/>
    <w:rsid w:val="31C51319"/>
    <w:rsid w:val="31E7C801"/>
    <w:rsid w:val="31E9855E"/>
    <w:rsid w:val="31EDAE3D"/>
    <w:rsid w:val="31F810B2"/>
    <w:rsid w:val="31F92C14"/>
    <w:rsid w:val="32044295"/>
    <w:rsid w:val="3209951B"/>
    <w:rsid w:val="321582E0"/>
    <w:rsid w:val="321C0E47"/>
    <w:rsid w:val="3223E31C"/>
    <w:rsid w:val="3226BD56"/>
    <w:rsid w:val="322BA372"/>
    <w:rsid w:val="323C80F4"/>
    <w:rsid w:val="32406843"/>
    <w:rsid w:val="3241AD7B"/>
    <w:rsid w:val="3273634A"/>
    <w:rsid w:val="327DD820"/>
    <w:rsid w:val="329736E8"/>
    <w:rsid w:val="329790A9"/>
    <w:rsid w:val="3299063D"/>
    <w:rsid w:val="32A6CA37"/>
    <w:rsid w:val="32A7DE18"/>
    <w:rsid w:val="32AEE0B9"/>
    <w:rsid w:val="32B45877"/>
    <w:rsid w:val="32B7A1A0"/>
    <w:rsid w:val="32B89599"/>
    <w:rsid w:val="32BB4A95"/>
    <w:rsid w:val="32D01D96"/>
    <w:rsid w:val="32D31780"/>
    <w:rsid w:val="32D943B3"/>
    <w:rsid w:val="32DD6B6C"/>
    <w:rsid w:val="32DD8FEE"/>
    <w:rsid w:val="32EE9ED7"/>
    <w:rsid w:val="32FCF4A9"/>
    <w:rsid w:val="3311B07C"/>
    <w:rsid w:val="331C237A"/>
    <w:rsid w:val="3323FE48"/>
    <w:rsid w:val="334E5051"/>
    <w:rsid w:val="3354FE49"/>
    <w:rsid w:val="335537F1"/>
    <w:rsid w:val="3355BAE1"/>
    <w:rsid w:val="3365E657"/>
    <w:rsid w:val="3368563B"/>
    <w:rsid w:val="336DA716"/>
    <w:rsid w:val="338C77D3"/>
    <w:rsid w:val="3394EA58"/>
    <w:rsid w:val="339D065F"/>
    <w:rsid w:val="33A67BA5"/>
    <w:rsid w:val="33AD05FF"/>
    <w:rsid w:val="33B10F3A"/>
    <w:rsid w:val="33B6D9EA"/>
    <w:rsid w:val="33C0C7A4"/>
    <w:rsid w:val="33E014DD"/>
    <w:rsid w:val="33E64F14"/>
    <w:rsid w:val="33E7B680"/>
    <w:rsid w:val="3406663D"/>
    <w:rsid w:val="340834C1"/>
    <w:rsid w:val="34104459"/>
    <w:rsid w:val="344197A3"/>
    <w:rsid w:val="3448F933"/>
    <w:rsid w:val="34505C5B"/>
    <w:rsid w:val="3455E7FB"/>
    <w:rsid w:val="345BBD6B"/>
    <w:rsid w:val="348140F4"/>
    <w:rsid w:val="3483B41C"/>
    <w:rsid w:val="3497AE5F"/>
    <w:rsid w:val="3497FF9C"/>
    <w:rsid w:val="34A267E9"/>
    <w:rsid w:val="34BA5584"/>
    <w:rsid w:val="34BB74EE"/>
    <w:rsid w:val="34C61433"/>
    <w:rsid w:val="34D24F97"/>
    <w:rsid w:val="34D4C63C"/>
    <w:rsid w:val="34D6EF92"/>
    <w:rsid w:val="34DB06EA"/>
    <w:rsid w:val="34DDF7F0"/>
    <w:rsid w:val="34E631A2"/>
    <w:rsid w:val="34F11DA4"/>
    <w:rsid w:val="350009AF"/>
    <w:rsid w:val="35011997"/>
    <w:rsid w:val="35084DDC"/>
    <w:rsid w:val="350D93BD"/>
    <w:rsid w:val="3511D5D3"/>
    <w:rsid w:val="351EAD95"/>
    <w:rsid w:val="35295A9D"/>
    <w:rsid w:val="352E57C2"/>
    <w:rsid w:val="353B1BA1"/>
    <w:rsid w:val="353E6224"/>
    <w:rsid w:val="3543977E"/>
    <w:rsid w:val="35457C63"/>
    <w:rsid w:val="354D2BCE"/>
    <w:rsid w:val="3551A5DB"/>
    <w:rsid w:val="355DB7E7"/>
    <w:rsid w:val="357160D9"/>
    <w:rsid w:val="3574219A"/>
    <w:rsid w:val="358B8482"/>
    <w:rsid w:val="3598060F"/>
    <w:rsid w:val="35AD9F27"/>
    <w:rsid w:val="35CC4134"/>
    <w:rsid w:val="35CFD451"/>
    <w:rsid w:val="35D79FBC"/>
    <w:rsid w:val="35DF313F"/>
    <w:rsid w:val="35EC8A2B"/>
    <w:rsid w:val="35F6AA0C"/>
    <w:rsid w:val="35F7B986"/>
    <w:rsid w:val="35FA7DA7"/>
    <w:rsid w:val="3611D50A"/>
    <w:rsid w:val="3618FBB6"/>
    <w:rsid w:val="36218118"/>
    <w:rsid w:val="3623ED9A"/>
    <w:rsid w:val="362832D3"/>
    <w:rsid w:val="36432B1E"/>
    <w:rsid w:val="3654B1DC"/>
    <w:rsid w:val="3655C7B8"/>
    <w:rsid w:val="3655ECF7"/>
    <w:rsid w:val="36580D75"/>
    <w:rsid w:val="365B6277"/>
    <w:rsid w:val="365DDA3B"/>
    <w:rsid w:val="3667437D"/>
    <w:rsid w:val="36698726"/>
    <w:rsid w:val="3672E9FB"/>
    <w:rsid w:val="367587EB"/>
    <w:rsid w:val="367B7873"/>
    <w:rsid w:val="367E4BB9"/>
    <w:rsid w:val="3689BFE3"/>
    <w:rsid w:val="3689C70B"/>
    <w:rsid w:val="3689E182"/>
    <w:rsid w:val="368EE6D7"/>
    <w:rsid w:val="36A13F44"/>
    <w:rsid w:val="36AE4369"/>
    <w:rsid w:val="36AE9599"/>
    <w:rsid w:val="36CC39C0"/>
    <w:rsid w:val="36D3DFED"/>
    <w:rsid w:val="36D8CB36"/>
    <w:rsid w:val="36DA0F95"/>
    <w:rsid w:val="36DF5446"/>
    <w:rsid w:val="36E2B6CB"/>
    <w:rsid w:val="36F95FEC"/>
    <w:rsid w:val="37138C11"/>
    <w:rsid w:val="37158252"/>
    <w:rsid w:val="3716578D"/>
    <w:rsid w:val="3718871A"/>
    <w:rsid w:val="371EEF27"/>
    <w:rsid w:val="37284922"/>
    <w:rsid w:val="37294D05"/>
    <w:rsid w:val="372A20A3"/>
    <w:rsid w:val="37313906"/>
    <w:rsid w:val="37338075"/>
    <w:rsid w:val="373B22FE"/>
    <w:rsid w:val="373BF9D0"/>
    <w:rsid w:val="3740E9D3"/>
    <w:rsid w:val="37567487"/>
    <w:rsid w:val="375AD5E7"/>
    <w:rsid w:val="37615B44"/>
    <w:rsid w:val="37722519"/>
    <w:rsid w:val="377725F9"/>
    <w:rsid w:val="3779604C"/>
    <w:rsid w:val="3781532A"/>
    <w:rsid w:val="3786776E"/>
    <w:rsid w:val="379A9965"/>
    <w:rsid w:val="37A0B979"/>
    <w:rsid w:val="37A57552"/>
    <w:rsid w:val="37A6D5E0"/>
    <w:rsid w:val="37B106BA"/>
    <w:rsid w:val="37B17CC2"/>
    <w:rsid w:val="37B56D5A"/>
    <w:rsid w:val="37D97A8C"/>
    <w:rsid w:val="37DD9A3A"/>
    <w:rsid w:val="37E577CA"/>
    <w:rsid w:val="37F25ECD"/>
    <w:rsid w:val="37F61305"/>
    <w:rsid w:val="37FBFFDF"/>
    <w:rsid w:val="3801995E"/>
    <w:rsid w:val="38044593"/>
    <w:rsid w:val="3805E05F"/>
    <w:rsid w:val="380933AF"/>
    <w:rsid w:val="3810E738"/>
    <w:rsid w:val="3819742C"/>
    <w:rsid w:val="381A3C8B"/>
    <w:rsid w:val="381B949D"/>
    <w:rsid w:val="381E5195"/>
    <w:rsid w:val="38219E99"/>
    <w:rsid w:val="38225E47"/>
    <w:rsid w:val="382CBEE3"/>
    <w:rsid w:val="3833843A"/>
    <w:rsid w:val="38498211"/>
    <w:rsid w:val="3849F186"/>
    <w:rsid w:val="384C4C24"/>
    <w:rsid w:val="38507999"/>
    <w:rsid w:val="38571547"/>
    <w:rsid w:val="386E669D"/>
    <w:rsid w:val="3870C9B7"/>
    <w:rsid w:val="389C9CA4"/>
    <w:rsid w:val="38A9A7CA"/>
    <w:rsid w:val="38AB3C52"/>
    <w:rsid w:val="38ABD154"/>
    <w:rsid w:val="38B7B5EF"/>
    <w:rsid w:val="38BCAD64"/>
    <w:rsid w:val="38C86A7A"/>
    <w:rsid w:val="38C99598"/>
    <w:rsid w:val="38EADB69"/>
    <w:rsid w:val="38EB1205"/>
    <w:rsid w:val="38F7AD9E"/>
    <w:rsid w:val="391E0322"/>
    <w:rsid w:val="392C4366"/>
    <w:rsid w:val="392D31B6"/>
    <w:rsid w:val="3932E792"/>
    <w:rsid w:val="3936F7C5"/>
    <w:rsid w:val="3937020C"/>
    <w:rsid w:val="393D2F76"/>
    <w:rsid w:val="393D540E"/>
    <w:rsid w:val="393F0B83"/>
    <w:rsid w:val="393FDA89"/>
    <w:rsid w:val="3942D806"/>
    <w:rsid w:val="39498334"/>
    <w:rsid w:val="39520164"/>
    <w:rsid w:val="39580DE6"/>
    <w:rsid w:val="395EFFE0"/>
    <w:rsid w:val="3964CD54"/>
    <w:rsid w:val="3973AD6F"/>
    <w:rsid w:val="3977395A"/>
    <w:rsid w:val="3983A5CA"/>
    <w:rsid w:val="398A1797"/>
    <w:rsid w:val="398BD2DA"/>
    <w:rsid w:val="39901C7D"/>
    <w:rsid w:val="39929049"/>
    <w:rsid w:val="39A50320"/>
    <w:rsid w:val="39B65053"/>
    <w:rsid w:val="39C25034"/>
    <w:rsid w:val="39C39D90"/>
    <w:rsid w:val="39C5F230"/>
    <w:rsid w:val="39CE114B"/>
    <w:rsid w:val="39F44DFC"/>
    <w:rsid w:val="39F55A93"/>
    <w:rsid w:val="39F9145D"/>
    <w:rsid w:val="3A01B43D"/>
    <w:rsid w:val="3A0B95EF"/>
    <w:rsid w:val="3A189319"/>
    <w:rsid w:val="3A268ED3"/>
    <w:rsid w:val="3A35067B"/>
    <w:rsid w:val="3A39FBA0"/>
    <w:rsid w:val="3A3A1CA2"/>
    <w:rsid w:val="3A50A43C"/>
    <w:rsid w:val="3A649A75"/>
    <w:rsid w:val="3A7A52B6"/>
    <w:rsid w:val="3A7F000F"/>
    <w:rsid w:val="3A7F0F07"/>
    <w:rsid w:val="3AB0EBBF"/>
    <w:rsid w:val="3AB12881"/>
    <w:rsid w:val="3ACFA5DA"/>
    <w:rsid w:val="3AD300EA"/>
    <w:rsid w:val="3B050148"/>
    <w:rsid w:val="3B0524C2"/>
    <w:rsid w:val="3B06438C"/>
    <w:rsid w:val="3B1F5AA4"/>
    <w:rsid w:val="3B315023"/>
    <w:rsid w:val="3B3279A2"/>
    <w:rsid w:val="3B3C5D56"/>
    <w:rsid w:val="3B47555E"/>
    <w:rsid w:val="3B4D7DF3"/>
    <w:rsid w:val="3B5C2AD5"/>
    <w:rsid w:val="3B5E0AA9"/>
    <w:rsid w:val="3B64EA11"/>
    <w:rsid w:val="3B76E0B0"/>
    <w:rsid w:val="3B7D88B9"/>
    <w:rsid w:val="3B7E6DBF"/>
    <w:rsid w:val="3B7FF3A5"/>
    <w:rsid w:val="3B866C00"/>
    <w:rsid w:val="3B86C93E"/>
    <w:rsid w:val="3B924D16"/>
    <w:rsid w:val="3B93AB65"/>
    <w:rsid w:val="3B985D2C"/>
    <w:rsid w:val="3BA698CF"/>
    <w:rsid w:val="3BA781E4"/>
    <w:rsid w:val="3BADAB94"/>
    <w:rsid w:val="3BB4354A"/>
    <w:rsid w:val="3BBD5EB1"/>
    <w:rsid w:val="3BC1CBAF"/>
    <w:rsid w:val="3BCDEE33"/>
    <w:rsid w:val="3BF62058"/>
    <w:rsid w:val="3C06D55F"/>
    <w:rsid w:val="3C08D6CC"/>
    <w:rsid w:val="3C0ABC10"/>
    <w:rsid w:val="3C1DC9CC"/>
    <w:rsid w:val="3C229BB0"/>
    <w:rsid w:val="3C272E04"/>
    <w:rsid w:val="3C2A85D5"/>
    <w:rsid w:val="3C2FA725"/>
    <w:rsid w:val="3C330B54"/>
    <w:rsid w:val="3C396E27"/>
    <w:rsid w:val="3C4B93C1"/>
    <w:rsid w:val="3C5065D4"/>
    <w:rsid w:val="3C5CF50E"/>
    <w:rsid w:val="3C8322A2"/>
    <w:rsid w:val="3C85173F"/>
    <w:rsid w:val="3C867791"/>
    <w:rsid w:val="3C8E9655"/>
    <w:rsid w:val="3C9875FA"/>
    <w:rsid w:val="3C99AD6F"/>
    <w:rsid w:val="3CA51F23"/>
    <w:rsid w:val="3CBB8255"/>
    <w:rsid w:val="3CBCAE26"/>
    <w:rsid w:val="3CC05E8B"/>
    <w:rsid w:val="3CC17CD8"/>
    <w:rsid w:val="3CC27FCF"/>
    <w:rsid w:val="3CCE86EE"/>
    <w:rsid w:val="3CDACD37"/>
    <w:rsid w:val="3CE64782"/>
    <w:rsid w:val="3CEE3B1D"/>
    <w:rsid w:val="3CF1EA93"/>
    <w:rsid w:val="3CFCFF45"/>
    <w:rsid w:val="3D047105"/>
    <w:rsid w:val="3D125FD3"/>
    <w:rsid w:val="3D25425F"/>
    <w:rsid w:val="3D2CA02B"/>
    <w:rsid w:val="3D2EBCCF"/>
    <w:rsid w:val="3D335EFA"/>
    <w:rsid w:val="3D359452"/>
    <w:rsid w:val="3D61E37A"/>
    <w:rsid w:val="3D64F7CB"/>
    <w:rsid w:val="3D69D39D"/>
    <w:rsid w:val="3D745064"/>
    <w:rsid w:val="3D794C9D"/>
    <w:rsid w:val="3D7CF30F"/>
    <w:rsid w:val="3D9A256C"/>
    <w:rsid w:val="3DA1E809"/>
    <w:rsid w:val="3DAE8A96"/>
    <w:rsid w:val="3DB4F0EC"/>
    <w:rsid w:val="3DB74B49"/>
    <w:rsid w:val="3DBFE8D1"/>
    <w:rsid w:val="3DCFB3C7"/>
    <w:rsid w:val="3DD16B07"/>
    <w:rsid w:val="3DE4D3F4"/>
    <w:rsid w:val="3DE4F5B1"/>
    <w:rsid w:val="3DE6A2B3"/>
    <w:rsid w:val="3DED7E6B"/>
    <w:rsid w:val="3DF5033F"/>
    <w:rsid w:val="3DFC8061"/>
    <w:rsid w:val="3E060DAB"/>
    <w:rsid w:val="3E0D0CBE"/>
    <w:rsid w:val="3E2022C5"/>
    <w:rsid w:val="3E215591"/>
    <w:rsid w:val="3E2FA930"/>
    <w:rsid w:val="3E36CBA4"/>
    <w:rsid w:val="3E3CC74D"/>
    <w:rsid w:val="3E47F5C8"/>
    <w:rsid w:val="3E4A5429"/>
    <w:rsid w:val="3E4F302C"/>
    <w:rsid w:val="3E51BB8A"/>
    <w:rsid w:val="3E55FC5E"/>
    <w:rsid w:val="3E6557E0"/>
    <w:rsid w:val="3E676923"/>
    <w:rsid w:val="3E6A15BE"/>
    <w:rsid w:val="3E72E52F"/>
    <w:rsid w:val="3E7C77F6"/>
    <w:rsid w:val="3E8FD7FF"/>
    <w:rsid w:val="3E909126"/>
    <w:rsid w:val="3E925535"/>
    <w:rsid w:val="3E963D7A"/>
    <w:rsid w:val="3E994849"/>
    <w:rsid w:val="3EAF7DD1"/>
    <w:rsid w:val="3EB258B6"/>
    <w:rsid w:val="3EBBF8F9"/>
    <w:rsid w:val="3ED24C12"/>
    <w:rsid w:val="3ED42BC3"/>
    <w:rsid w:val="3ED9D957"/>
    <w:rsid w:val="3EDC4F8B"/>
    <w:rsid w:val="3EE3716E"/>
    <w:rsid w:val="3EEA1AA8"/>
    <w:rsid w:val="3EEBCFFF"/>
    <w:rsid w:val="3EF24E6D"/>
    <w:rsid w:val="3F063D98"/>
    <w:rsid w:val="3F08A2D4"/>
    <w:rsid w:val="3F128D45"/>
    <w:rsid w:val="3F17F149"/>
    <w:rsid w:val="3F1C2B7B"/>
    <w:rsid w:val="3F1E9422"/>
    <w:rsid w:val="3F218F5B"/>
    <w:rsid w:val="3F2A1D77"/>
    <w:rsid w:val="3F355197"/>
    <w:rsid w:val="3F4012F0"/>
    <w:rsid w:val="3F4F12F7"/>
    <w:rsid w:val="3F63386C"/>
    <w:rsid w:val="3F652242"/>
    <w:rsid w:val="3F688896"/>
    <w:rsid w:val="3F68A67E"/>
    <w:rsid w:val="3F6D37FD"/>
    <w:rsid w:val="3F782BF5"/>
    <w:rsid w:val="3F7CCF10"/>
    <w:rsid w:val="3F8AABD1"/>
    <w:rsid w:val="3F968E12"/>
    <w:rsid w:val="3FAA9D04"/>
    <w:rsid w:val="3FAF9817"/>
    <w:rsid w:val="3FB50A74"/>
    <w:rsid w:val="3FCAF243"/>
    <w:rsid w:val="3FD60A6A"/>
    <w:rsid w:val="3FD79A90"/>
    <w:rsid w:val="3FD89A9F"/>
    <w:rsid w:val="3FDAAAAC"/>
    <w:rsid w:val="3FE5062F"/>
    <w:rsid w:val="3FE74CBB"/>
    <w:rsid w:val="3FF7245B"/>
    <w:rsid w:val="3FFB0254"/>
    <w:rsid w:val="3FFF8C80"/>
    <w:rsid w:val="40066F2A"/>
    <w:rsid w:val="40189082"/>
    <w:rsid w:val="402165AD"/>
    <w:rsid w:val="40296F2C"/>
    <w:rsid w:val="402F4246"/>
    <w:rsid w:val="40363958"/>
    <w:rsid w:val="404026D1"/>
    <w:rsid w:val="4043B082"/>
    <w:rsid w:val="40467236"/>
    <w:rsid w:val="4048836F"/>
    <w:rsid w:val="404DC3FA"/>
    <w:rsid w:val="405460A2"/>
    <w:rsid w:val="4057FD32"/>
    <w:rsid w:val="406BD265"/>
    <w:rsid w:val="40706110"/>
    <w:rsid w:val="4075AF2B"/>
    <w:rsid w:val="407BE364"/>
    <w:rsid w:val="4090AE84"/>
    <w:rsid w:val="409C36E8"/>
    <w:rsid w:val="409FF780"/>
    <w:rsid w:val="40A15A7D"/>
    <w:rsid w:val="40A98EA3"/>
    <w:rsid w:val="40C0EB2E"/>
    <w:rsid w:val="40C0F700"/>
    <w:rsid w:val="40C46C80"/>
    <w:rsid w:val="40C77686"/>
    <w:rsid w:val="40D30AB9"/>
    <w:rsid w:val="40DB7AF9"/>
    <w:rsid w:val="40EB06CC"/>
    <w:rsid w:val="41290679"/>
    <w:rsid w:val="4130A67E"/>
    <w:rsid w:val="41328DF6"/>
    <w:rsid w:val="41403C8D"/>
    <w:rsid w:val="414E67E6"/>
    <w:rsid w:val="414F7D40"/>
    <w:rsid w:val="415139F9"/>
    <w:rsid w:val="4152E3DA"/>
    <w:rsid w:val="41613185"/>
    <w:rsid w:val="416E191E"/>
    <w:rsid w:val="41715682"/>
    <w:rsid w:val="4175DA14"/>
    <w:rsid w:val="417693D3"/>
    <w:rsid w:val="418B6A46"/>
    <w:rsid w:val="4192F0F1"/>
    <w:rsid w:val="41953503"/>
    <w:rsid w:val="419AB8EB"/>
    <w:rsid w:val="41AA05E1"/>
    <w:rsid w:val="41AFE0B8"/>
    <w:rsid w:val="41B43B74"/>
    <w:rsid w:val="41B4C1FA"/>
    <w:rsid w:val="41C1A614"/>
    <w:rsid w:val="41C28109"/>
    <w:rsid w:val="41C8830F"/>
    <w:rsid w:val="41CD94CA"/>
    <w:rsid w:val="41D74F01"/>
    <w:rsid w:val="41E4619C"/>
    <w:rsid w:val="41FE3E80"/>
    <w:rsid w:val="41FF7081"/>
    <w:rsid w:val="42001D5E"/>
    <w:rsid w:val="421F00CF"/>
    <w:rsid w:val="422098C1"/>
    <w:rsid w:val="42305546"/>
    <w:rsid w:val="4233291B"/>
    <w:rsid w:val="4241F7B4"/>
    <w:rsid w:val="424F145A"/>
    <w:rsid w:val="4257188C"/>
    <w:rsid w:val="427D960B"/>
    <w:rsid w:val="42AB884F"/>
    <w:rsid w:val="42B11225"/>
    <w:rsid w:val="42B5A292"/>
    <w:rsid w:val="42BAFA6D"/>
    <w:rsid w:val="42BBD298"/>
    <w:rsid w:val="42C48BDF"/>
    <w:rsid w:val="42CF6451"/>
    <w:rsid w:val="42DFE767"/>
    <w:rsid w:val="42E58102"/>
    <w:rsid w:val="42FD2BCA"/>
    <w:rsid w:val="42FFB76F"/>
    <w:rsid w:val="43017F51"/>
    <w:rsid w:val="432213D1"/>
    <w:rsid w:val="43233AF7"/>
    <w:rsid w:val="432F917E"/>
    <w:rsid w:val="43300916"/>
    <w:rsid w:val="4333BBC4"/>
    <w:rsid w:val="433CA1B4"/>
    <w:rsid w:val="43419DF0"/>
    <w:rsid w:val="43578983"/>
    <w:rsid w:val="436513FF"/>
    <w:rsid w:val="43715A2F"/>
    <w:rsid w:val="437AFC89"/>
    <w:rsid w:val="4386C1DB"/>
    <w:rsid w:val="43873633"/>
    <w:rsid w:val="439FA992"/>
    <w:rsid w:val="43A47BCB"/>
    <w:rsid w:val="43C7A508"/>
    <w:rsid w:val="43DBB85B"/>
    <w:rsid w:val="43E1A730"/>
    <w:rsid w:val="43E67223"/>
    <w:rsid w:val="43EB386C"/>
    <w:rsid w:val="43ECCE7C"/>
    <w:rsid w:val="43F0CB42"/>
    <w:rsid w:val="43F89EED"/>
    <w:rsid w:val="440AE65C"/>
    <w:rsid w:val="441E8D14"/>
    <w:rsid w:val="4426D51D"/>
    <w:rsid w:val="442764E4"/>
    <w:rsid w:val="442E109E"/>
    <w:rsid w:val="442F1967"/>
    <w:rsid w:val="44373AD4"/>
    <w:rsid w:val="444D1EA1"/>
    <w:rsid w:val="44534F22"/>
    <w:rsid w:val="445631AE"/>
    <w:rsid w:val="445BBBEC"/>
    <w:rsid w:val="445C683E"/>
    <w:rsid w:val="445DDA81"/>
    <w:rsid w:val="44615F8F"/>
    <w:rsid w:val="4470AFA3"/>
    <w:rsid w:val="4481FDD1"/>
    <w:rsid w:val="448B710B"/>
    <w:rsid w:val="448E73E9"/>
    <w:rsid w:val="449943D2"/>
    <w:rsid w:val="44AC748C"/>
    <w:rsid w:val="44CDAA76"/>
    <w:rsid w:val="44CF0005"/>
    <w:rsid w:val="44E4F650"/>
    <w:rsid w:val="44F0BF07"/>
    <w:rsid w:val="44FC9B80"/>
    <w:rsid w:val="450623D4"/>
    <w:rsid w:val="450C2819"/>
    <w:rsid w:val="450C9D23"/>
    <w:rsid w:val="450F7B7F"/>
    <w:rsid w:val="450F8DDD"/>
    <w:rsid w:val="452921A2"/>
    <w:rsid w:val="453BA26B"/>
    <w:rsid w:val="45408153"/>
    <w:rsid w:val="454D7CBD"/>
    <w:rsid w:val="45533396"/>
    <w:rsid w:val="45537D04"/>
    <w:rsid w:val="45630EF6"/>
    <w:rsid w:val="456A81AD"/>
    <w:rsid w:val="456D55AE"/>
    <w:rsid w:val="457472F6"/>
    <w:rsid w:val="4580DC06"/>
    <w:rsid w:val="45815497"/>
    <w:rsid w:val="45844CFC"/>
    <w:rsid w:val="458AD731"/>
    <w:rsid w:val="4590E2F2"/>
    <w:rsid w:val="45931D78"/>
    <w:rsid w:val="4594AA6C"/>
    <w:rsid w:val="45971193"/>
    <w:rsid w:val="4598C7D0"/>
    <w:rsid w:val="45AC1FB2"/>
    <w:rsid w:val="45B02837"/>
    <w:rsid w:val="45B4A2EB"/>
    <w:rsid w:val="45DEBDDC"/>
    <w:rsid w:val="45E04CE1"/>
    <w:rsid w:val="45E18AA4"/>
    <w:rsid w:val="45E56C62"/>
    <w:rsid w:val="45E6B2E7"/>
    <w:rsid w:val="45EBB9DC"/>
    <w:rsid w:val="45EC37FA"/>
    <w:rsid w:val="45F36EBC"/>
    <w:rsid w:val="45FEFE62"/>
    <w:rsid w:val="45FF19CF"/>
    <w:rsid w:val="46003116"/>
    <w:rsid w:val="4605E3EE"/>
    <w:rsid w:val="46075F6B"/>
    <w:rsid w:val="460F01F2"/>
    <w:rsid w:val="4648DA9B"/>
    <w:rsid w:val="464B3488"/>
    <w:rsid w:val="465325F8"/>
    <w:rsid w:val="465DE65F"/>
    <w:rsid w:val="4671A194"/>
    <w:rsid w:val="4672B29C"/>
    <w:rsid w:val="46731A40"/>
    <w:rsid w:val="46825767"/>
    <w:rsid w:val="468EA06A"/>
    <w:rsid w:val="468F8BA3"/>
    <w:rsid w:val="469C849A"/>
    <w:rsid w:val="469F14AA"/>
    <w:rsid w:val="46A5F820"/>
    <w:rsid w:val="46AB0E52"/>
    <w:rsid w:val="46AE996E"/>
    <w:rsid w:val="46B7F24B"/>
    <w:rsid w:val="46CBCDBC"/>
    <w:rsid w:val="46CC1CE5"/>
    <w:rsid w:val="46E67F87"/>
    <w:rsid w:val="46EC0777"/>
    <w:rsid w:val="46EF4828"/>
    <w:rsid w:val="46FFD12D"/>
    <w:rsid w:val="4700A27B"/>
    <w:rsid w:val="4705301F"/>
    <w:rsid w:val="4717C221"/>
    <w:rsid w:val="47180AC2"/>
    <w:rsid w:val="4725C275"/>
    <w:rsid w:val="47335907"/>
    <w:rsid w:val="474CC630"/>
    <w:rsid w:val="474F34B7"/>
    <w:rsid w:val="47798FAA"/>
    <w:rsid w:val="47858C0D"/>
    <w:rsid w:val="4797D0FC"/>
    <w:rsid w:val="479DD0F8"/>
    <w:rsid w:val="479E7ED8"/>
    <w:rsid w:val="47AD5257"/>
    <w:rsid w:val="47B67992"/>
    <w:rsid w:val="47C0280A"/>
    <w:rsid w:val="47C17B8F"/>
    <w:rsid w:val="47D0EACF"/>
    <w:rsid w:val="47DB1406"/>
    <w:rsid w:val="47E22D5F"/>
    <w:rsid w:val="47E7F70C"/>
    <w:rsid w:val="47F42BD8"/>
    <w:rsid w:val="47FA7BBC"/>
    <w:rsid w:val="4802A56B"/>
    <w:rsid w:val="4807A9CB"/>
    <w:rsid w:val="4809CCC9"/>
    <w:rsid w:val="48179B65"/>
    <w:rsid w:val="48264B19"/>
    <w:rsid w:val="482D54BA"/>
    <w:rsid w:val="48310F5C"/>
    <w:rsid w:val="4832DE07"/>
    <w:rsid w:val="483DAD9B"/>
    <w:rsid w:val="4848E784"/>
    <w:rsid w:val="484C5E72"/>
    <w:rsid w:val="485048B2"/>
    <w:rsid w:val="48671B2F"/>
    <w:rsid w:val="486988C5"/>
    <w:rsid w:val="48702AAC"/>
    <w:rsid w:val="48712EA2"/>
    <w:rsid w:val="487A15EA"/>
    <w:rsid w:val="4880304E"/>
    <w:rsid w:val="48819F4E"/>
    <w:rsid w:val="48990085"/>
    <w:rsid w:val="489D97AA"/>
    <w:rsid w:val="48AF316B"/>
    <w:rsid w:val="48B61053"/>
    <w:rsid w:val="48DA8DF6"/>
    <w:rsid w:val="48E9676E"/>
    <w:rsid w:val="4900BDCB"/>
    <w:rsid w:val="49041CAC"/>
    <w:rsid w:val="49053381"/>
    <w:rsid w:val="490E13C9"/>
    <w:rsid w:val="491245A5"/>
    <w:rsid w:val="4916729B"/>
    <w:rsid w:val="49190C03"/>
    <w:rsid w:val="492D7539"/>
    <w:rsid w:val="494035D9"/>
    <w:rsid w:val="49412AC9"/>
    <w:rsid w:val="4949559E"/>
    <w:rsid w:val="4950C0AA"/>
    <w:rsid w:val="4956A728"/>
    <w:rsid w:val="4957E01C"/>
    <w:rsid w:val="49724315"/>
    <w:rsid w:val="49742D1D"/>
    <w:rsid w:val="497839E0"/>
    <w:rsid w:val="497A6C1C"/>
    <w:rsid w:val="497A9FAA"/>
    <w:rsid w:val="497D3ABA"/>
    <w:rsid w:val="497E5335"/>
    <w:rsid w:val="498009D4"/>
    <w:rsid w:val="4996EF88"/>
    <w:rsid w:val="499B80E2"/>
    <w:rsid w:val="49A83652"/>
    <w:rsid w:val="49C3BCB9"/>
    <w:rsid w:val="49D173C0"/>
    <w:rsid w:val="49D1BFC8"/>
    <w:rsid w:val="49D3F356"/>
    <w:rsid w:val="49D73077"/>
    <w:rsid w:val="49E29B83"/>
    <w:rsid w:val="49FCD28B"/>
    <w:rsid w:val="4A03F15B"/>
    <w:rsid w:val="4A1C9B55"/>
    <w:rsid w:val="4A228703"/>
    <w:rsid w:val="4A27C525"/>
    <w:rsid w:val="4A2D55D7"/>
    <w:rsid w:val="4A346305"/>
    <w:rsid w:val="4A4E39B6"/>
    <w:rsid w:val="4A589E20"/>
    <w:rsid w:val="4A5F56D1"/>
    <w:rsid w:val="4A60D33E"/>
    <w:rsid w:val="4A652DEC"/>
    <w:rsid w:val="4A653F47"/>
    <w:rsid w:val="4A65EC95"/>
    <w:rsid w:val="4A6A404E"/>
    <w:rsid w:val="4A6F377B"/>
    <w:rsid w:val="4A732E68"/>
    <w:rsid w:val="4A785C49"/>
    <w:rsid w:val="4A7BE148"/>
    <w:rsid w:val="4A7E17EE"/>
    <w:rsid w:val="4A8707BB"/>
    <w:rsid w:val="4A8D3866"/>
    <w:rsid w:val="4A94C304"/>
    <w:rsid w:val="4AA2ECF8"/>
    <w:rsid w:val="4AA3B8E6"/>
    <w:rsid w:val="4AB920DD"/>
    <w:rsid w:val="4ABCBDB6"/>
    <w:rsid w:val="4ABF1A6E"/>
    <w:rsid w:val="4ADBA857"/>
    <w:rsid w:val="4ADCAC00"/>
    <w:rsid w:val="4ADDC8B4"/>
    <w:rsid w:val="4ADEB74D"/>
    <w:rsid w:val="4AE1CBB5"/>
    <w:rsid w:val="4AEB6C05"/>
    <w:rsid w:val="4AEEE13F"/>
    <w:rsid w:val="4AFCC276"/>
    <w:rsid w:val="4AFDA4F0"/>
    <w:rsid w:val="4B04E2D8"/>
    <w:rsid w:val="4B08A503"/>
    <w:rsid w:val="4B0F5897"/>
    <w:rsid w:val="4B129A77"/>
    <w:rsid w:val="4B1D0487"/>
    <w:rsid w:val="4B269653"/>
    <w:rsid w:val="4B33BDF4"/>
    <w:rsid w:val="4B395404"/>
    <w:rsid w:val="4B3F3FF5"/>
    <w:rsid w:val="4B50F879"/>
    <w:rsid w:val="4B51AF68"/>
    <w:rsid w:val="4B640602"/>
    <w:rsid w:val="4B7C9EEB"/>
    <w:rsid w:val="4B92897B"/>
    <w:rsid w:val="4B98971B"/>
    <w:rsid w:val="4B9CD993"/>
    <w:rsid w:val="4BAD8A47"/>
    <w:rsid w:val="4BB0468C"/>
    <w:rsid w:val="4BBF92C8"/>
    <w:rsid w:val="4BC5CD93"/>
    <w:rsid w:val="4BC5D3AD"/>
    <w:rsid w:val="4BCC4B04"/>
    <w:rsid w:val="4BCE0935"/>
    <w:rsid w:val="4BD11CDB"/>
    <w:rsid w:val="4BD4284F"/>
    <w:rsid w:val="4BD4E9D9"/>
    <w:rsid w:val="4BD73CBE"/>
    <w:rsid w:val="4BD7CB23"/>
    <w:rsid w:val="4BD801AD"/>
    <w:rsid w:val="4C055998"/>
    <w:rsid w:val="4C0D457C"/>
    <w:rsid w:val="4C1D874A"/>
    <w:rsid w:val="4C231CD7"/>
    <w:rsid w:val="4C287398"/>
    <w:rsid w:val="4C28875B"/>
    <w:rsid w:val="4C364034"/>
    <w:rsid w:val="4C3D596B"/>
    <w:rsid w:val="4C46274A"/>
    <w:rsid w:val="4C4D19AC"/>
    <w:rsid w:val="4C5D47F9"/>
    <w:rsid w:val="4C5DEFA1"/>
    <w:rsid w:val="4C5F965E"/>
    <w:rsid w:val="4C9F5FA0"/>
    <w:rsid w:val="4CBECD05"/>
    <w:rsid w:val="4CCB266A"/>
    <w:rsid w:val="4CEB8F53"/>
    <w:rsid w:val="4CF0A161"/>
    <w:rsid w:val="4CF48680"/>
    <w:rsid w:val="4CF90E33"/>
    <w:rsid w:val="4D02BD4A"/>
    <w:rsid w:val="4D0FE396"/>
    <w:rsid w:val="4D12DFBB"/>
    <w:rsid w:val="4D1DDA6F"/>
    <w:rsid w:val="4D1E52F6"/>
    <w:rsid w:val="4D3A6E34"/>
    <w:rsid w:val="4D45A19D"/>
    <w:rsid w:val="4D46ABD3"/>
    <w:rsid w:val="4D49F1AD"/>
    <w:rsid w:val="4D4A9881"/>
    <w:rsid w:val="4D4B600F"/>
    <w:rsid w:val="4D5B9576"/>
    <w:rsid w:val="4D6A1BC0"/>
    <w:rsid w:val="4D6F0A9C"/>
    <w:rsid w:val="4D7B6A83"/>
    <w:rsid w:val="4D82D815"/>
    <w:rsid w:val="4D8CADDE"/>
    <w:rsid w:val="4D9F5864"/>
    <w:rsid w:val="4DA9AB56"/>
    <w:rsid w:val="4DB2ED36"/>
    <w:rsid w:val="4DB8121E"/>
    <w:rsid w:val="4DC7EC3E"/>
    <w:rsid w:val="4DCE63CF"/>
    <w:rsid w:val="4DE48EBB"/>
    <w:rsid w:val="4DF7D294"/>
    <w:rsid w:val="4DF7F2DF"/>
    <w:rsid w:val="4DF8E1CA"/>
    <w:rsid w:val="4DFAFA12"/>
    <w:rsid w:val="4E05EE3B"/>
    <w:rsid w:val="4E06A605"/>
    <w:rsid w:val="4E10AAE4"/>
    <w:rsid w:val="4E2B91D1"/>
    <w:rsid w:val="4E475A00"/>
    <w:rsid w:val="4E4EC3F1"/>
    <w:rsid w:val="4E58781F"/>
    <w:rsid w:val="4E5CBF44"/>
    <w:rsid w:val="4E5D05D2"/>
    <w:rsid w:val="4E672302"/>
    <w:rsid w:val="4E683612"/>
    <w:rsid w:val="4E6CBFEE"/>
    <w:rsid w:val="4E749464"/>
    <w:rsid w:val="4E7526B1"/>
    <w:rsid w:val="4EA5308A"/>
    <w:rsid w:val="4EB51318"/>
    <w:rsid w:val="4EB88294"/>
    <w:rsid w:val="4EB8E305"/>
    <w:rsid w:val="4EBA7361"/>
    <w:rsid w:val="4EC50250"/>
    <w:rsid w:val="4ED33A5B"/>
    <w:rsid w:val="4ED60F8F"/>
    <w:rsid w:val="4ED87C12"/>
    <w:rsid w:val="4EE6ECDF"/>
    <w:rsid w:val="4EE92E37"/>
    <w:rsid w:val="4F0C8252"/>
    <w:rsid w:val="4F1459D2"/>
    <w:rsid w:val="4F2AA3A3"/>
    <w:rsid w:val="4F333C30"/>
    <w:rsid w:val="4F473A57"/>
    <w:rsid w:val="4F57F01C"/>
    <w:rsid w:val="4F6B3711"/>
    <w:rsid w:val="4F6B4069"/>
    <w:rsid w:val="4F75DAEB"/>
    <w:rsid w:val="4F835495"/>
    <w:rsid w:val="4F871AF3"/>
    <w:rsid w:val="4F8DFC4D"/>
    <w:rsid w:val="4F94F88D"/>
    <w:rsid w:val="4F995F5D"/>
    <w:rsid w:val="4F99A284"/>
    <w:rsid w:val="4F99F15E"/>
    <w:rsid w:val="4F99F493"/>
    <w:rsid w:val="4FA33C99"/>
    <w:rsid w:val="4FB04898"/>
    <w:rsid w:val="4FB4D7A8"/>
    <w:rsid w:val="4FB84217"/>
    <w:rsid w:val="4FBED79D"/>
    <w:rsid w:val="4FCAFFED"/>
    <w:rsid w:val="4FD89FB3"/>
    <w:rsid w:val="4FE3E633"/>
    <w:rsid w:val="4FF4E766"/>
    <w:rsid w:val="5011CCD1"/>
    <w:rsid w:val="5020E88F"/>
    <w:rsid w:val="5027CB86"/>
    <w:rsid w:val="5030153F"/>
    <w:rsid w:val="503E5BCB"/>
    <w:rsid w:val="503E6EE7"/>
    <w:rsid w:val="5047C348"/>
    <w:rsid w:val="50499D66"/>
    <w:rsid w:val="504C06D6"/>
    <w:rsid w:val="5051F792"/>
    <w:rsid w:val="50577146"/>
    <w:rsid w:val="5057EE5F"/>
    <w:rsid w:val="5060766D"/>
    <w:rsid w:val="506D2479"/>
    <w:rsid w:val="506D3E6C"/>
    <w:rsid w:val="5091C87C"/>
    <w:rsid w:val="50A2C745"/>
    <w:rsid w:val="50B12FF3"/>
    <w:rsid w:val="50B99692"/>
    <w:rsid w:val="50DA48CE"/>
    <w:rsid w:val="50DE7FE9"/>
    <w:rsid w:val="50E96F52"/>
    <w:rsid w:val="50F0BB32"/>
    <w:rsid w:val="50FA564C"/>
    <w:rsid w:val="50FECA5C"/>
    <w:rsid w:val="5123E3EC"/>
    <w:rsid w:val="51259ABD"/>
    <w:rsid w:val="5132E6F3"/>
    <w:rsid w:val="51332E2A"/>
    <w:rsid w:val="5133FB7C"/>
    <w:rsid w:val="5136F597"/>
    <w:rsid w:val="51414E86"/>
    <w:rsid w:val="51561B3F"/>
    <w:rsid w:val="515BAFAB"/>
    <w:rsid w:val="5160EF3B"/>
    <w:rsid w:val="516C5D14"/>
    <w:rsid w:val="5191CE31"/>
    <w:rsid w:val="51938F17"/>
    <w:rsid w:val="519CC838"/>
    <w:rsid w:val="51A5854B"/>
    <w:rsid w:val="51A8426A"/>
    <w:rsid w:val="51B08725"/>
    <w:rsid w:val="51BB384F"/>
    <w:rsid w:val="51BB5AA3"/>
    <w:rsid w:val="51BCAA49"/>
    <w:rsid w:val="51BF05B8"/>
    <w:rsid w:val="51C8AD9D"/>
    <w:rsid w:val="51E2BE50"/>
    <w:rsid w:val="51E6CE18"/>
    <w:rsid w:val="51EC467F"/>
    <w:rsid w:val="51F39F5A"/>
    <w:rsid w:val="51FD4332"/>
    <w:rsid w:val="51FDE08D"/>
    <w:rsid w:val="5205D84B"/>
    <w:rsid w:val="52073694"/>
    <w:rsid w:val="520A0688"/>
    <w:rsid w:val="5215D053"/>
    <w:rsid w:val="522D6CEA"/>
    <w:rsid w:val="5232F18F"/>
    <w:rsid w:val="523BC401"/>
    <w:rsid w:val="52428A44"/>
    <w:rsid w:val="5247764B"/>
    <w:rsid w:val="5256628E"/>
    <w:rsid w:val="525AA04B"/>
    <w:rsid w:val="526C287B"/>
    <w:rsid w:val="52701F0C"/>
    <w:rsid w:val="52755F56"/>
    <w:rsid w:val="5277E959"/>
    <w:rsid w:val="527D69BB"/>
    <w:rsid w:val="52825A6B"/>
    <w:rsid w:val="5288119D"/>
    <w:rsid w:val="528B7F95"/>
    <w:rsid w:val="528E3BB2"/>
    <w:rsid w:val="5290D892"/>
    <w:rsid w:val="5299BCCF"/>
    <w:rsid w:val="529BA661"/>
    <w:rsid w:val="52A03590"/>
    <w:rsid w:val="52A764BA"/>
    <w:rsid w:val="52B81BCC"/>
    <w:rsid w:val="52C1AE1D"/>
    <w:rsid w:val="52DDFD11"/>
    <w:rsid w:val="52E0E987"/>
    <w:rsid w:val="52E41371"/>
    <w:rsid w:val="52E6ADF9"/>
    <w:rsid w:val="52E9432B"/>
    <w:rsid w:val="52EA9346"/>
    <w:rsid w:val="53024C6D"/>
    <w:rsid w:val="5306537A"/>
    <w:rsid w:val="5306AB1B"/>
    <w:rsid w:val="531084CA"/>
    <w:rsid w:val="53166493"/>
    <w:rsid w:val="532D8D65"/>
    <w:rsid w:val="53366148"/>
    <w:rsid w:val="5339EF7D"/>
    <w:rsid w:val="535157ED"/>
    <w:rsid w:val="53579EA0"/>
    <w:rsid w:val="536DC34A"/>
    <w:rsid w:val="536DC8F3"/>
    <w:rsid w:val="537C747E"/>
    <w:rsid w:val="5385F36A"/>
    <w:rsid w:val="539A51C5"/>
    <w:rsid w:val="53A0B242"/>
    <w:rsid w:val="53AD0E33"/>
    <w:rsid w:val="53B55F5A"/>
    <w:rsid w:val="53C29DCC"/>
    <w:rsid w:val="53D0F5CB"/>
    <w:rsid w:val="53D3890D"/>
    <w:rsid w:val="53E47A48"/>
    <w:rsid w:val="53E64085"/>
    <w:rsid w:val="53EA7D00"/>
    <w:rsid w:val="53F3DD96"/>
    <w:rsid w:val="53F4A4BE"/>
    <w:rsid w:val="53FABCFE"/>
    <w:rsid w:val="5411613B"/>
    <w:rsid w:val="541DF106"/>
    <w:rsid w:val="5423D095"/>
    <w:rsid w:val="5425A0D8"/>
    <w:rsid w:val="5428B484"/>
    <w:rsid w:val="5429A9B6"/>
    <w:rsid w:val="542D5545"/>
    <w:rsid w:val="54571C84"/>
    <w:rsid w:val="54592FF0"/>
    <w:rsid w:val="545F22FB"/>
    <w:rsid w:val="54755C53"/>
    <w:rsid w:val="5476C184"/>
    <w:rsid w:val="54791724"/>
    <w:rsid w:val="548A657D"/>
    <w:rsid w:val="54914EBD"/>
    <w:rsid w:val="5495408A"/>
    <w:rsid w:val="54A1CF09"/>
    <w:rsid w:val="54A80C75"/>
    <w:rsid w:val="54B3A488"/>
    <w:rsid w:val="54BF6840"/>
    <w:rsid w:val="54EA490B"/>
    <w:rsid w:val="54EFB520"/>
    <w:rsid w:val="54F0B64C"/>
    <w:rsid w:val="54FDD082"/>
    <w:rsid w:val="551A14AD"/>
    <w:rsid w:val="551BBF59"/>
    <w:rsid w:val="551D384A"/>
    <w:rsid w:val="5527C581"/>
    <w:rsid w:val="55297076"/>
    <w:rsid w:val="5539BAA7"/>
    <w:rsid w:val="554D823D"/>
    <w:rsid w:val="554DA2B5"/>
    <w:rsid w:val="5556F5E0"/>
    <w:rsid w:val="55608399"/>
    <w:rsid w:val="557A189A"/>
    <w:rsid w:val="557D845D"/>
    <w:rsid w:val="558A2BD1"/>
    <w:rsid w:val="55926382"/>
    <w:rsid w:val="5599F606"/>
    <w:rsid w:val="55AA055C"/>
    <w:rsid w:val="55AEBDF0"/>
    <w:rsid w:val="55AFEB91"/>
    <w:rsid w:val="55B0662D"/>
    <w:rsid w:val="55BE2B7E"/>
    <w:rsid w:val="55BE4A14"/>
    <w:rsid w:val="55C20F89"/>
    <w:rsid w:val="55D12461"/>
    <w:rsid w:val="55DFBD3F"/>
    <w:rsid w:val="55DFC950"/>
    <w:rsid w:val="55E8846F"/>
    <w:rsid w:val="55EBA03B"/>
    <w:rsid w:val="55F3C475"/>
    <w:rsid w:val="55FC483B"/>
    <w:rsid w:val="5605D9E1"/>
    <w:rsid w:val="56120A8F"/>
    <w:rsid w:val="56138908"/>
    <w:rsid w:val="562EE672"/>
    <w:rsid w:val="56381B77"/>
    <w:rsid w:val="564B8C83"/>
    <w:rsid w:val="564F4B55"/>
    <w:rsid w:val="56529D17"/>
    <w:rsid w:val="5653B213"/>
    <w:rsid w:val="56671A6E"/>
    <w:rsid w:val="566A40CF"/>
    <w:rsid w:val="56717B24"/>
    <w:rsid w:val="5671E8C8"/>
    <w:rsid w:val="5678D3DA"/>
    <w:rsid w:val="567AA67E"/>
    <w:rsid w:val="567B45F8"/>
    <w:rsid w:val="567C86C0"/>
    <w:rsid w:val="568265D3"/>
    <w:rsid w:val="568C8AC3"/>
    <w:rsid w:val="568EA5AD"/>
    <w:rsid w:val="568EC936"/>
    <w:rsid w:val="569E4F9C"/>
    <w:rsid w:val="56AF55B7"/>
    <w:rsid w:val="56C91D8C"/>
    <w:rsid w:val="56CAFE63"/>
    <w:rsid w:val="56CFD36D"/>
    <w:rsid w:val="56DA5637"/>
    <w:rsid w:val="56E398F1"/>
    <w:rsid w:val="56E94D50"/>
    <w:rsid w:val="56EE7CB1"/>
    <w:rsid w:val="56F0FD53"/>
    <w:rsid w:val="5703567B"/>
    <w:rsid w:val="570514DF"/>
    <w:rsid w:val="570EAA99"/>
    <w:rsid w:val="572D3E6B"/>
    <w:rsid w:val="5732ACA0"/>
    <w:rsid w:val="57450320"/>
    <w:rsid w:val="5748FA59"/>
    <w:rsid w:val="574C0E84"/>
    <w:rsid w:val="575326C6"/>
    <w:rsid w:val="57534F8A"/>
    <w:rsid w:val="575C3BA8"/>
    <w:rsid w:val="5763466B"/>
    <w:rsid w:val="5765BCF3"/>
    <w:rsid w:val="5767BD45"/>
    <w:rsid w:val="57716EDE"/>
    <w:rsid w:val="5784830A"/>
    <w:rsid w:val="57A51AB2"/>
    <w:rsid w:val="57B82D55"/>
    <w:rsid w:val="57B960DF"/>
    <w:rsid w:val="57CFE6F5"/>
    <w:rsid w:val="57DD849C"/>
    <w:rsid w:val="57E00254"/>
    <w:rsid w:val="57EC19D3"/>
    <w:rsid w:val="57F2E8AB"/>
    <w:rsid w:val="57F38927"/>
    <w:rsid w:val="57FB0A88"/>
    <w:rsid w:val="5808C9FA"/>
    <w:rsid w:val="580EF366"/>
    <w:rsid w:val="580EFE28"/>
    <w:rsid w:val="58275172"/>
    <w:rsid w:val="582EAF67"/>
    <w:rsid w:val="5835B2EA"/>
    <w:rsid w:val="583DC789"/>
    <w:rsid w:val="58423E3B"/>
    <w:rsid w:val="5848A079"/>
    <w:rsid w:val="584DFCDD"/>
    <w:rsid w:val="5855E5B7"/>
    <w:rsid w:val="58572529"/>
    <w:rsid w:val="58609A89"/>
    <w:rsid w:val="586C112A"/>
    <w:rsid w:val="587A0424"/>
    <w:rsid w:val="587B1D5D"/>
    <w:rsid w:val="58873733"/>
    <w:rsid w:val="588EFE57"/>
    <w:rsid w:val="589B2026"/>
    <w:rsid w:val="589B8078"/>
    <w:rsid w:val="58C8FFC1"/>
    <w:rsid w:val="58C965A3"/>
    <w:rsid w:val="58CC20D6"/>
    <w:rsid w:val="58CD2B15"/>
    <w:rsid w:val="58D5A18E"/>
    <w:rsid w:val="58D6CEC5"/>
    <w:rsid w:val="58E23A19"/>
    <w:rsid w:val="58E94B25"/>
    <w:rsid w:val="58F00BC6"/>
    <w:rsid w:val="59093CEE"/>
    <w:rsid w:val="590A334F"/>
    <w:rsid w:val="590D45B2"/>
    <w:rsid w:val="591C07AD"/>
    <w:rsid w:val="59226AF6"/>
    <w:rsid w:val="592C72A2"/>
    <w:rsid w:val="5931066F"/>
    <w:rsid w:val="593115C9"/>
    <w:rsid w:val="5934C45D"/>
    <w:rsid w:val="593A905F"/>
    <w:rsid w:val="593C3BA1"/>
    <w:rsid w:val="5950C663"/>
    <w:rsid w:val="59776FB5"/>
    <w:rsid w:val="597797D5"/>
    <w:rsid w:val="5979902D"/>
    <w:rsid w:val="59831078"/>
    <w:rsid w:val="5986113F"/>
    <w:rsid w:val="59869DAF"/>
    <w:rsid w:val="5988E3FC"/>
    <w:rsid w:val="59A29F65"/>
    <w:rsid w:val="59B61D11"/>
    <w:rsid w:val="59B6C4F9"/>
    <w:rsid w:val="59C1962E"/>
    <w:rsid w:val="59C24565"/>
    <w:rsid w:val="59C9BA88"/>
    <w:rsid w:val="59CB0B6C"/>
    <w:rsid w:val="59CE857C"/>
    <w:rsid w:val="59CF866B"/>
    <w:rsid w:val="59DE1A43"/>
    <w:rsid w:val="59F36A00"/>
    <w:rsid w:val="59FAFB4B"/>
    <w:rsid w:val="59FD709C"/>
    <w:rsid w:val="5A03BF7C"/>
    <w:rsid w:val="5A07C4C6"/>
    <w:rsid w:val="5A14B8D3"/>
    <w:rsid w:val="5A1FAE8D"/>
    <w:rsid w:val="5A2004A1"/>
    <w:rsid w:val="5A2C9912"/>
    <w:rsid w:val="5A2CCC29"/>
    <w:rsid w:val="5A3908D6"/>
    <w:rsid w:val="5A3C7A38"/>
    <w:rsid w:val="5A3C9AE5"/>
    <w:rsid w:val="5A3EF23C"/>
    <w:rsid w:val="5A4A5C02"/>
    <w:rsid w:val="5A5159CF"/>
    <w:rsid w:val="5A5559AF"/>
    <w:rsid w:val="5A6B8528"/>
    <w:rsid w:val="5A6BBCD6"/>
    <w:rsid w:val="5A850A13"/>
    <w:rsid w:val="5A89CCB7"/>
    <w:rsid w:val="5A89FC79"/>
    <w:rsid w:val="5A925F36"/>
    <w:rsid w:val="5A93DFA3"/>
    <w:rsid w:val="5A94C31C"/>
    <w:rsid w:val="5A99F546"/>
    <w:rsid w:val="5A9A901B"/>
    <w:rsid w:val="5AA8F18C"/>
    <w:rsid w:val="5AAC6BB8"/>
    <w:rsid w:val="5AAC83FB"/>
    <w:rsid w:val="5AB05B37"/>
    <w:rsid w:val="5AB33E92"/>
    <w:rsid w:val="5ABF000F"/>
    <w:rsid w:val="5AC36DED"/>
    <w:rsid w:val="5AD74DBF"/>
    <w:rsid w:val="5ADABD1D"/>
    <w:rsid w:val="5AF35410"/>
    <w:rsid w:val="5AF93FAB"/>
    <w:rsid w:val="5B022CDD"/>
    <w:rsid w:val="5B062EAB"/>
    <w:rsid w:val="5B19B905"/>
    <w:rsid w:val="5B24A8FA"/>
    <w:rsid w:val="5B31F798"/>
    <w:rsid w:val="5B41C970"/>
    <w:rsid w:val="5B43EAB0"/>
    <w:rsid w:val="5B4DCB91"/>
    <w:rsid w:val="5B4E2E84"/>
    <w:rsid w:val="5B4FA8A9"/>
    <w:rsid w:val="5B521795"/>
    <w:rsid w:val="5B5253D5"/>
    <w:rsid w:val="5B566BF1"/>
    <w:rsid w:val="5B63E325"/>
    <w:rsid w:val="5B6CBBB6"/>
    <w:rsid w:val="5B6EE684"/>
    <w:rsid w:val="5B74F418"/>
    <w:rsid w:val="5B7512A2"/>
    <w:rsid w:val="5B98DF48"/>
    <w:rsid w:val="5BA319BA"/>
    <w:rsid w:val="5BB47E54"/>
    <w:rsid w:val="5BB6A5A3"/>
    <w:rsid w:val="5BBD2F82"/>
    <w:rsid w:val="5BBFC652"/>
    <w:rsid w:val="5BC22BE0"/>
    <w:rsid w:val="5BC42580"/>
    <w:rsid w:val="5BD56C45"/>
    <w:rsid w:val="5BDC316A"/>
    <w:rsid w:val="5BE5162A"/>
    <w:rsid w:val="5BE758BC"/>
    <w:rsid w:val="5BE9C615"/>
    <w:rsid w:val="5BF1922F"/>
    <w:rsid w:val="5C0968BF"/>
    <w:rsid w:val="5C1B768D"/>
    <w:rsid w:val="5C351916"/>
    <w:rsid w:val="5C389B0E"/>
    <w:rsid w:val="5C475C95"/>
    <w:rsid w:val="5C4EBE4B"/>
    <w:rsid w:val="5C50F023"/>
    <w:rsid w:val="5C5FBD9D"/>
    <w:rsid w:val="5C603810"/>
    <w:rsid w:val="5C6C8F04"/>
    <w:rsid w:val="5C805931"/>
    <w:rsid w:val="5C8405C1"/>
    <w:rsid w:val="5C854D4A"/>
    <w:rsid w:val="5C87F6DC"/>
    <w:rsid w:val="5C9583F1"/>
    <w:rsid w:val="5C96F21A"/>
    <w:rsid w:val="5CABDEAD"/>
    <w:rsid w:val="5CB201A3"/>
    <w:rsid w:val="5CC3EF45"/>
    <w:rsid w:val="5CCC1AF3"/>
    <w:rsid w:val="5CDE1116"/>
    <w:rsid w:val="5CE24EF1"/>
    <w:rsid w:val="5CE513C3"/>
    <w:rsid w:val="5CE56986"/>
    <w:rsid w:val="5CEC667A"/>
    <w:rsid w:val="5CF3BE62"/>
    <w:rsid w:val="5CF45C6E"/>
    <w:rsid w:val="5D0E2AA0"/>
    <w:rsid w:val="5D1379FA"/>
    <w:rsid w:val="5D2178AE"/>
    <w:rsid w:val="5D295354"/>
    <w:rsid w:val="5D2FCA06"/>
    <w:rsid w:val="5D315C97"/>
    <w:rsid w:val="5D373363"/>
    <w:rsid w:val="5D3917EC"/>
    <w:rsid w:val="5D4622E9"/>
    <w:rsid w:val="5D4B4159"/>
    <w:rsid w:val="5D62592E"/>
    <w:rsid w:val="5D676516"/>
    <w:rsid w:val="5D6AD78A"/>
    <w:rsid w:val="5D7CC7BC"/>
    <w:rsid w:val="5D854BE0"/>
    <w:rsid w:val="5D870AB3"/>
    <w:rsid w:val="5D9A15B5"/>
    <w:rsid w:val="5D9A7125"/>
    <w:rsid w:val="5DA22910"/>
    <w:rsid w:val="5DA24E03"/>
    <w:rsid w:val="5DA4425C"/>
    <w:rsid w:val="5DA557C9"/>
    <w:rsid w:val="5DBB2C37"/>
    <w:rsid w:val="5DC102A9"/>
    <w:rsid w:val="5DC1EF66"/>
    <w:rsid w:val="5DCDC508"/>
    <w:rsid w:val="5DCEC4E3"/>
    <w:rsid w:val="5DD4C955"/>
    <w:rsid w:val="5DD563E3"/>
    <w:rsid w:val="5DE36711"/>
    <w:rsid w:val="5DEC075B"/>
    <w:rsid w:val="5DFDF721"/>
    <w:rsid w:val="5E06FF42"/>
    <w:rsid w:val="5E0F4D1F"/>
    <w:rsid w:val="5E0F9034"/>
    <w:rsid w:val="5E25136A"/>
    <w:rsid w:val="5E25BD75"/>
    <w:rsid w:val="5E287AEF"/>
    <w:rsid w:val="5E2DAF6A"/>
    <w:rsid w:val="5E2F3145"/>
    <w:rsid w:val="5E335544"/>
    <w:rsid w:val="5E34A07F"/>
    <w:rsid w:val="5E5124C8"/>
    <w:rsid w:val="5E56BEDD"/>
    <w:rsid w:val="5E6389E4"/>
    <w:rsid w:val="5E6605CC"/>
    <w:rsid w:val="5E6FE98F"/>
    <w:rsid w:val="5E723DEF"/>
    <w:rsid w:val="5E77B381"/>
    <w:rsid w:val="5E7FB8FE"/>
    <w:rsid w:val="5E80167D"/>
    <w:rsid w:val="5E82DE26"/>
    <w:rsid w:val="5E8471B2"/>
    <w:rsid w:val="5E874A08"/>
    <w:rsid w:val="5E884984"/>
    <w:rsid w:val="5E89A76D"/>
    <w:rsid w:val="5E91F4D7"/>
    <w:rsid w:val="5E96B318"/>
    <w:rsid w:val="5EA531DB"/>
    <w:rsid w:val="5EAC6326"/>
    <w:rsid w:val="5ECCD360"/>
    <w:rsid w:val="5ECEA6A0"/>
    <w:rsid w:val="5ED6EE09"/>
    <w:rsid w:val="5ED8EE81"/>
    <w:rsid w:val="5EDD41D0"/>
    <w:rsid w:val="5EEAD65C"/>
    <w:rsid w:val="5EF34701"/>
    <w:rsid w:val="5EFE6B19"/>
    <w:rsid w:val="5F2308B0"/>
    <w:rsid w:val="5F2A8199"/>
    <w:rsid w:val="5F2F618B"/>
    <w:rsid w:val="5F33BB54"/>
    <w:rsid w:val="5F34B5BF"/>
    <w:rsid w:val="5F381249"/>
    <w:rsid w:val="5F402F04"/>
    <w:rsid w:val="5F56CE22"/>
    <w:rsid w:val="5F5E818E"/>
    <w:rsid w:val="5F63DE78"/>
    <w:rsid w:val="5F71EF41"/>
    <w:rsid w:val="5F752782"/>
    <w:rsid w:val="5F7DB6EB"/>
    <w:rsid w:val="5F8B8A48"/>
    <w:rsid w:val="5F8D2CFA"/>
    <w:rsid w:val="5F8D7D33"/>
    <w:rsid w:val="5F902D7D"/>
    <w:rsid w:val="5F9D78E4"/>
    <w:rsid w:val="5FA2FA3F"/>
    <w:rsid w:val="5FA4D45C"/>
    <w:rsid w:val="5FA79F96"/>
    <w:rsid w:val="5FA89D9D"/>
    <w:rsid w:val="5FC715F6"/>
    <w:rsid w:val="5FC78516"/>
    <w:rsid w:val="5FC83D0B"/>
    <w:rsid w:val="5FCB72EA"/>
    <w:rsid w:val="5FD3ECB5"/>
    <w:rsid w:val="5FD56B61"/>
    <w:rsid w:val="5FE2F387"/>
    <w:rsid w:val="5FE53567"/>
    <w:rsid w:val="5FE658AA"/>
    <w:rsid w:val="5FF910B5"/>
    <w:rsid w:val="60098FFC"/>
    <w:rsid w:val="600B573C"/>
    <w:rsid w:val="600CA226"/>
    <w:rsid w:val="600D16E5"/>
    <w:rsid w:val="6014BF28"/>
    <w:rsid w:val="6018DE05"/>
    <w:rsid w:val="60281C93"/>
    <w:rsid w:val="602B97F0"/>
    <w:rsid w:val="603965C3"/>
    <w:rsid w:val="603DB015"/>
    <w:rsid w:val="604559CE"/>
    <w:rsid w:val="60468E99"/>
    <w:rsid w:val="6047C2AA"/>
    <w:rsid w:val="60493C18"/>
    <w:rsid w:val="60549F36"/>
    <w:rsid w:val="6057809E"/>
    <w:rsid w:val="6066BF9D"/>
    <w:rsid w:val="606790EE"/>
    <w:rsid w:val="607E735E"/>
    <w:rsid w:val="608DC033"/>
    <w:rsid w:val="60904D47"/>
    <w:rsid w:val="6090D63B"/>
    <w:rsid w:val="6099970B"/>
    <w:rsid w:val="60B3EF67"/>
    <w:rsid w:val="60BB078D"/>
    <w:rsid w:val="60CD681C"/>
    <w:rsid w:val="60D2D098"/>
    <w:rsid w:val="60DFEE37"/>
    <w:rsid w:val="60FB290B"/>
    <w:rsid w:val="6101AE8E"/>
    <w:rsid w:val="61040C95"/>
    <w:rsid w:val="610433CD"/>
    <w:rsid w:val="6107435F"/>
    <w:rsid w:val="6107AB56"/>
    <w:rsid w:val="610AAC26"/>
    <w:rsid w:val="611D8B62"/>
    <w:rsid w:val="612ADE28"/>
    <w:rsid w:val="613DC878"/>
    <w:rsid w:val="61408D22"/>
    <w:rsid w:val="6144D483"/>
    <w:rsid w:val="6145A687"/>
    <w:rsid w:val="614ED96C"/>
    <w:rsid w:val="6157671E"/>
    <w:rsid w:val="616BD303"/>
    <w:rsid w:val="616DC371"/>
    <w:rsid w:val="616FDFFB"/>
    <w:rsid w:val="617B0250"/>
    <w:rsid w:val="617C9323"/>
    <w:rsid w:val="6180670C"/>
    <w:rsid w:val="618B3B37"/>
    <w:rsid w:val="618C4A38"/>
    <w:rsid w:val="61960EC8"/>
    <w:rsid w:val="61A4DCD5"/>
    <w:rsid w:val="61AA65C1"/>
    <w:rsid w:val="61E80F38"/>
    <w:rsid w:val="61ECF78F"/>
    <w:rsid w:val="61F418AC"/>
    <w:rsid w:val="62056F58"/>
    <w:rsid w:val="620F8A35"/>
    <w:rsid w:val="621F54B9"/>
    <w:rsid w:val="62236001"/>
    <w:rsid w:val="62346D2A"/>
    <w:rsid w:val="62434AD5"/>
    <w:rsid w:val="62529FA6"/>
    <w:rsid w:val="62557721"/>
    <w:rsid w:val="6256C157"/>
    <w:rsid w:val="625FBB02"/>
    <w:rsid w:val="62749C35"/>
    <w:rsid w:val="6278A6F0"/>
    <w:rsid w:val="6280EC30"/>
    <w:rsid w:val="6286441A"/>
    <w:rsid w:val="6292150D"/>
    <w:rsid w:val="6293804F"/>
    <w:rsid w:val="62A9FE8A"/>
    <w:rsid w:val="62B3F3A6"/>
    <w:rsid w:val="62C69118"/>
    <w:rsid w:val="62CEA941"/>
    <w:rsid w:val="63033066"/>
    <w:rsid w:val="631E0D37"/>
    <w:rsid w:val="6338DA42"/>
    <w:rsid w:val="6358B0BE"/>
    <w:rsid w:val="63597457"/>
    <w:rsid w:val="6364E14D"/>
    <w:rsid w:val="636526EC"/>
    <w:rsid w:val="636CC877"/>
    <w:rsid w:val="636EDF0F"/>
    <w:rsid w:val="637394D8"/>
    <w:rsid w:val="63798977"/>
    <w:rsid w:val="637C3CD6"/>
    <w:rsid w:val="638FD783"/>
    <w:rsid w:val="63912210"/>
    <w:rsid w:val="6398A623"/>
    <w:rsid w:val="63B26521"/>
    <w:rsid w:val="63C213A4"/>
    <w:rsid w:val="63D05B42"/>
    <w:rsid w:val="63DAA56D"/>
    <w:rsid w:val="63DBFF26"/>
    <w:rsid w:val="63FA1C34"/>
    <w:rsid w:val="63FBB624"/>
    <w:rsid w:val="6414C52B"/>
    <w:rsid w:val="6416D19D"/>
    <w:rsid w:val="64197D3F"/>
    <w:rsid w:val="641EEA6A"/>
    <w:rsid w:val="64218BD8"/>
    <w:rsid w:val="64229864"/>
    <w:rsid w:val="64297F7F"/>
    <w:rsid w:val="64335FFA"/>
    <w:rsid w:val="64396EDB"/>
    <w:rsid w:val="643C13EB"/>
    <w:rsid w:val="643CC0C8"/>
    <w:rsid w:val="6447F76C"/>
    <w:rsid w:val="64572D50"/>
    <w:rsid w:val="645F4331"/>
    <w:rsid w:val="64660D5F"/>
    <w:rsid w:val="64669B51"/>
    <w:rsid w:val="64685957"/>
    <w:rsid w:val="646AC21E"/>
    <w:rsid w:val="64770AAD"/>
    <w:rsid w:val="6483B38F"/>
    <w:rsid w:val="648CE81E"/>
    <w:rsid w:val="649E7807"/>
    <w:rsid w:val="64A2C429"/>
    <w:rsid w:val="64A864DB"/>
    <w:rsid w:val="64B0BA6E"/>
    <w:rsid w:val="64C37552"/>
    <w:rsid w:val="64D2C733"/>
    <w:rsid w:val="64E5200D"/>
    <w:rsid w:val="64F00F00"/>
    <w:rsid w:val="64F72EF2"/>
    <w:rsid w:val="64FB7E95"/>
    <w:rsid w:val="64FB8AFC"/>
    <w:rsid w:val="64FC7BEF"/>
    <w:rsid w:val="6512CC35"/>
    <w:rsid w:val="6519E000"/>
    <w:rsid w:val="651C85E8"/>
    <w:rsid w:val="6533EE19"/>
    <w:rsid w:val="655252C8"/>
    <w:rsid w:val="65526887"/>
    <w:rsid w:val="6554BF7C"/>
    <w:rsid w:val="65558EC4"/>
    <w:rsid w:val="655662B0"/>
    <w:rsid w:val="655C2CF6"/>
    <w:rsid w:val="65668F71"/>
    <w:rsid w:val="656CEBB6"/>
    <w:rsid w:val="657049CE"/>
    <w:rsid w:val="657A2DE0"/>
    <w:rsid w:val="657AAAD2"/>
    <w:rsid w:val="657F2482"/>
    <w:rsid w:val="65827E2C"/>
    <w:rsid w:val="6599FF8A"/>
    <w:rsid w:val="659F7394"/>
    <w:rsid w:val="65AC8D3F"/>
    <w:rsid w:val="65ACFCC9"/>
    <w:rsid w:val="65B7CDB7"/>
    <w:rsid w:val="65BABF5B"/>
    <w:rsid w:val="65D0F589"/>
    <w:rsid w:val="65D2E71E"/>
    <w:rsid w:val="65D86307"/>
    <w:rsid w:val="65D979D8"/>
    <w:rsid w:val="65DF4465"/>
    <w:rsid w:val="65E13549"/>
    <w:rsid w:val="65EE58A2"/>
    <w:rsid w:val="66012238"/>
    <w:rsid w:val="66095FEB"/>
    <w:rsid w:val="660B291B"/>
    <w:rsid w:val="661460CE"/>
    <w:rsid w:val="661B0ECF"/>
    <w:rsid w:val="6641461C"/>
    <w:rsid w:val="66431831"/>
    <w:rsid w:val="664AE365"/>
    <w:rsid w:val="664AFD95"/>
    <w:rsid w:val="664B0D28"/>
    <w:rsid w:val="664CA704"/>
    <w:rsid w:val="6659DA42"/>
    <w:rsid w:val="66694518"/>
    <w:rsid w:val="6671372A"/>
    <w:rsid w:val="6685C772"/>
    <w:rsid w:val="66889056"/>
    <w:rsid w:val="668A1168"/>
    <w:rsid w:val="668FD6D2"/>
    <w:rsid w:val="669223AD"/>
    <w:rsid w:val="6698A68A"/>
    <w:rsid w:val="6699EAF5"/>
    <w:rsid w:val="669C8244"/>
    <w:rsid w:val="66B09F0D"/>
    <w:rsid w:val="66B79EDF"/>
    <w:rsid w:val="66D166F4"/>
    <w:rsid w:val="66D3CA39"/>
    <w:rsid w:val="66D9B9ED"/>
    <w:rsid w:val="66F1A87D"/>
    <w:rsid w:val="670DCB82"/>
    <w:rsid w:val="672691CC"/>
    <w:rsid w:val="673D8A7C"/>
    <w:rsid w:val="673F55F1"/>
    <w:rsid w:val="673F691D"/>
    <w:rsid w:val="67426FF1"/>
    <w:rsid w:val="674579B2"/>
    <w:rsid w:val="6748261E"/>
    <w:rsid w:val="6751F8D9"/>
    <w:rsid w:val="675277D9"/>
    <w:rsid w:val="6754807E"/>
    <w:rsid w:val="675D0338"/>
    <w:rsid w:val="6761AC3E"/>
    <w:rsid w:val="676277A8"/>
    <w:rsid w:val="67659E0F"/>
    <w:rsid w:val="6770BC6F"/>
    <w:rsid w:val="67749168"/>
    <w:rsid w:val="678BF2F9"/>
    <w:rsid w:val="678ED939"/>
    <w:rsid w:val="67A1A204"/>
    <w:rsid w:val="67A4A494"/>
    <w:rsid w:val="67ABD636"/>
    <w:rsid w:val="67D7C721"/>
    <w:rsid w:val="67DA686D"/>
    <w:rsid w:val="67DD440A"/>
    <w:rsid w:val="67E5CA54"/>
    <w:rsid w:val="67E97F27"/>
    <w:rsid w:val="67ED64F7"/>
    <w:rsid w:val="67F51AB9"/>
    <w:rsid w:val="67FB4414"/>
    <w:rsid w:val="67FD4816"/>
    <w:rsid w:val="680AC6F4"/>
    <w:rsid w:val="68121C02"/>
    <w:rsid w:val="681F3016"/>
    <w:rsid w:val="6822A558"/>
    <w:rsid w:val="68251CD6"/>
    <w:rsid w:val="68290CA8"/>
    <w:rsid w:val="682CD25C"/>
    <w:rsid w:val="684CDE67"/>
    <w:rsid w:val="68513F80"/>
    <w:rsid w:val="68568FA1"/>
    <w:rsid w:val="685EA5F7"/>
    <w:rsid w:val="686297EC"/>
    <w:rsid w:val="6881C225"/>
    <w:rsid w:val="68998107"/>
    <w:rsid w:val="68B86F62"/>
    <w:rsid w:val="68C21990"/>
    <w:rsid w:val="68C219CE"/>
    <w:rsid w:val="68C8D6A1"/>
    <w:rsid w:val="68CDC8C6"/>
    <w:rsid w:val="68D72358"/>
    <w:rsid w:val="68DAE0C5"/>
    <w:rsid w:val="68ED0C73"/>
    <w:rsid w:val="68F40CFF"/>
    <w:rsid w:val="68F799B7"/>
    <w:rsid w:val="690113B7"/>
    <w:rsid w:val="690432B7"/>
    <w:rsid w:val="6904D280"/>
    <w:rsid w:val="690D542B"/>
    <w:rsid w:val="6913CB90"/>
    <w:rsid w:val="6914AAB5"/>
    <w:rsid w:val="691609B1"/>
    <w:rsid w:val="69169F2D"/>
    <w:rsid w:val="6939A817"/>
    <w:rsid w:val="6942C64D"/>
    <w:rsid w:val="69468B32"/>
    <w:rsid w:val="694E0FBF"/>
    <w:rsid w:val="694ECD6D"/>
    <w:rsid w:val="69518E94"/>
    <w:rsid w:val="695C4774"/>
    <w:rsid w:val="696DA760"/>
    <w:rsid w:val="69705113"/>
    <w:rsid w:val="69758CA4"/>
    <w:rsid w:val="69816F16"/>
    <w:rsid w:val="698269F8"/>
    <w:rsid w:val="6982D41C"/>
    <w:rsid w:val="6983A753"/>
    <w:rsid w:val="698F6018"/>
    <w:rsid w:val="69A55BB0"/>
    <w:rsid w:val="69B544B5"/>
    <w:rsid w:val="69B546F9"/>
    <w:rsid w:val="69BB73BA"/>
    <w:rsid w:val="69CA5ABD"/>
    <w:rsid w:val="69D5E138"/>
    <w:rsid w:val="69E120A5"/>
    <w:rsid w:val="69E45475"/>
    <w:rsid w:val="69E45935"/>
    <w:rsid w:val="6A03D5B9"/>
    <w:rsid w:val="6A0BDEBE"/>
    <w:rsid w:val="6A0EC6AA"/>
    <w:rsid w:val="6A0F516D"/>
    <w:rsid w:val="6A13CBF0"/>
    <w:rsid w:val="6A158261"/>
    <w:rsid w:val="6A283687"/>
    <w:rsid w:val="6A2D0F2C"/>
    <w:rsid w:val="6A3326A3"/>
    <w:rsid w:val="6A38E673"/>
    <w:rsid w:val="6A3D8EA5"/>
    <w:rsid w:val="6A4774C7"/>
    <w:rsid w:val="6A485CA5"/>
    <w:rsid w:val="6A49B1DD"/>
    <w:rsid w:val="6A4D38A3"/>
    <w:rsid w:val="6A4E08AD"/>
    <w:rsid w:val="6A56EE2A"/>
    <w:rsid w:val="6A5A0D62"/>
    <w:rsid w:val="6A682EE8"/>
    <w:rsid w:val="6A6CF5C0"/>
    <w:rsid w:val="6A6FBDDC"/>
    <w:rsid w:val="6A8A33F3"/>
    <w:rsid w:val="6A8BDD81"/>
    <w:rsid w:val="6A959D07"/>
    <w:rsid w:val="6A97C934"/>
    <w:rsid w:val="6A97D712"/>
    <w:rsid w:val="6AA027BF"/>
    <w:rsid w:val="6ABEBFDD"/>
    <w:rsid w:val="6AC31BFA"/>
    <w:rsid w:val="6AC83841"/>
    <w:rsid w:val="6ACB058F"/>
    <w:rsid w:val="6ACBD57E"/>
    <w:rsid w:val="6ACC8038"/>
    <w:rsid w:val="6AE46441"/>
    <w:rsid w:val="6AE7B37B"/>
    <w:rsid w:val="6AE88CF2"/>
    <w:rsid w:val="6AE9770C"/>
    <w:rsid w:val="6AEF1E31"/>
    <w:rsid w:val="6AF6BC9A"/>
    <w:rsid w:val="6B18563C"/>
    <w:rsid w:val="6B1FFACB"/>
    <w:rsid w:val="6B2D2DD1"/>
    <w:rsid w:val="6B2FB29B"/>
    <w:rsid w:val="6B367A5C"/>
    <w:rsid w:val="6B37C669"/>
    <w:rsid w:val="6B6D596B"/>
    <w:rsid w:val="6B7D7B17"/>
    <w:rsid w:val="6B828FB4"/>
    <w:rsid w:val="6B8536E8"/>
    <w:rsid w:val="6B92372D"/>
    <w:rsid w:val="6B94451B"/>
    <w:rsid w:val="6B9F0E3C"/>
    <w:rsid w:val="6BA27885"/>
    <w:rsid w:val="6BABA157"/>
    <w:rsid w:val="6BB8ABE6"/>
    <w:rsid w:val="6BD2D80F"/>
    <w:rsid w:val="6BD6191B"/>
    <w:rsid w:val="6BE9D6A1"/>
    <w:rsid w:val="6BEC334A"/>
    <w:rsid w:val="6BF51A26"/>
    <w:rsid w:val="6BF6487B"/>
    <w:rsid w:val="6BF9C893"/>
    <w:rsid w:val="6C002411"/>
    <w:rsid w:val="6C01F9D0"/>
    <w:rsid w:val="6C13121B"/>
    <w:rsid w:val="6C176B86"/>
    <w:rsid w:val="6C21BED5"/>
    <w:rsid w:val="6C2CD3F3"/>
    <w:rsid w:val="6C4E91AC"/>
    <w:rsid w:val="6C59242E"/>
    <w:rsid w:val="6C5BA127"/>
    <w:rsid w:val="6C60CA31"/>
    <w:rsid w:val="6C71C424"/>
    <w:rsid w:val="6C73DBBC"/>
    <w:rsid w:val="6C8453C6"/>
    <w:rsid w:val="6C8460D8"/>
    <w:rsid w:val="6C9298CF"/>
    <w:rsid w:val="6C991615"/>
    <w:rsid w:val="6CA77DBC"/>
    <w:rsid w:val="6CBA06F6"/>
    <w:rsid w:val="6CE49574"/>
    <w:rsid w:val="6CEC3458"/>
    <w:rsid w:val="6CEDC17D"/>
    <w:rsid w:val="6CF41F1B"/>
    <w:rsid w:val="6CFA925A"/>
    <w:rsid w:val="6D11A50F"/>
    <w:rsid w:val="6D15A093"/>
    <w:rsid w:val="6D283413"/>
    <w:rsid w:val="6D2C56D4"/>
    <w:rsid w:val="6D2E8A56"/>
    <w:rsid w:val="6D36039D"/>
    <w:rsid w:val="6D3C66F7"/>
    <w:rsid w:val="6D3E25E8"/>
    <w:rsid w:val="6D46CA5E"/>
    <w:rsid w:val="6D4B2E64"/>
    <w:rsid w:val="6D541D65"/>
    <w:rsid w:val="6D5AD888"/>
    <w:rsid w:val="6D5B1761"/>
    <w:rsid w:val="6D619B86"/>
    <w:rsid w:val="6D650ADF"/>
    <w:rsid w:val="6D731A7A"/>
    <w:rsid w:val="6D7379DE"/>
    <w:rsid w:val="6D7C57D7"/>
    <w:rsid w:val="6D863CDF"/>
    <w:rsid w:val="6D8D02E7"/>
    <w:rsid w:val="6D8E6BE0"/>
    <w:rsid w:val="6D8E74FB"/>
    <w:rsid w:val="6D92BEC4"/>
    <w:rsid w:val="6D94E0F3"/>
    <w:rsid w:val="6D99A3FE"/>
    <w:rsid w:val="6DA4204D"/>
    <w:rsid w:val="6DA58A91"/>
    <w:rsid w:val="6DB271E3"/>
    <w:rsid w:val="6DBBA182"/>
    <w:rsid w:val="6DBF3229"/>
    <w:rsid w:val="6DC35629"/>
    <w:rsid w:val="6DCB13E4"/>
    <w:rsid w:val="6DDA2132"/>
    <w:rsid w:val="6DE302CF"/>
    <w:rsid w:val="6DE3C525"/>
    <w:rsid w:val="6DE98CA2"/>
    <w:rsid w:val="6DFF78E6"/>
    <w:rsid w:val="6E03A9C9"/>
    <w:rsid w:val="6E047782"/>
    <w:rsid w:val="6E070F9A"/>
    <w:rsid w:val="6E08155F"/>
    <w:rsid w:val="6E16F98D"/>
    <w:rsid w:val="6E1DEC09"/>
    <w:rsid w:val="6E251EE0"/>
    <w:rsid w:val="6E27F762"/>
    <w:rsid w:val="6E30B9E3"/>
    <w:rsid w:val="6E341E0A"/>
    <w:rsid w:val="6E3489E1"/>
    <w:rsid w:val="6E364AC4"/>
    <w:rsid w:val="6E4872E9"/>
    <w:rsid w:val="6E4B8274"/>
    <w:rsid w:val="6E691308"/>
    <w:rsid w:val="6E715BDB"/>
    <w:rsid w:val="6E7C72BA"/>
    <w:rsid w:val="6E7F7298"/>
    <w:rsid w:val="6E85F66D"/>
    <w:rsid w:val="6E87306A"/>
    <w:rsid w:val="6E912F5D"/>
    <w:rsid w:val="6EB5F2EF"/>
    <w:rsid w:val="6EB6C212"/>
    <w:rsid w:val="6EBC7E55"/>
    <w:rsid w:val="6EBD7C96"/>
    <w:rsid w:val="6EBE2B2B"/>
    <w:rsid w:val="6EC6AC79"/>
    <w:rsid w:val="6ECBB573"/>
    <w:rsid w:val="6ECD04BA"/>
    <w:rsid w:val="6EEAC33C"/>
    <w:rsid w:val="6EEB8F31"/>
    <w:rsid w:val="6EEDAC8A"/>
    <w:rsid w:val="6F0949EF"/>
    <w:rsid w:val="6F18E9BA"/>
    <w:rsid w:val="6F1F6CC7"/>
    <w:rsid w:val="6F2BB9E0"/>
    <w:rsid w:val="6F39E543"/>
    <w:rsid w:val="6F4694DF"/>
    <w:rsid w:val="6F46F31A"/>
    <w:rsid w:val="6F4F8507"/>
    <w:rsid w:val="6F55789D"/>
    <w:rsid w:val="6F57D763"/>
    <w:rsid w:val="6F581D17"/>
    <w:rsid w:val="6F5CF430"/>
    <w:rsid w:val="6F5D4A6F"/>
    <w:rsid w:val="6F613A82"/>
    <w:rsid w:val="6F668094"/>
    <w:rsid w:val="6F70451F"/>
    <w:rsid w:val="6F721B91"/>
    <w:rsid w:val="6F7B851B"/>
    <w:rsid w:val="6F7E0BE2"/>
    <w:rsid w:val="6F8A3241"/>
    <w:rsid w:val="6F8BA84C"/>
    <w:rsid w:val="6FA0F080"/>
    <w:rsid w:val="6FAF2586"/>
    <w:rsid w:val="6FBD2E14"/>
    <w:rsid w:val="6FBF5B75"/>
    <w:rsid w:val="6FBF7746"/>
    <w:rsid w:val="6FC297F2"/>
    <w:rsid w:val="6FC7016B"/>
    <w:rsid w:val="6FC8C065"/>
    <w:rsid w:val="6FC938BF"/>
    <w:rsid w:val="6FD09C99"/>
    <w:rsid w:val="6FD86108"/>
    <w:rsid w:val="6FD8BD51"/>
    <w:rsid w:val="6FE8BCB7"/>
    <w:rsid w:val="70069138"/>
    <w:rsid w:val="70118E95"/>
    <w:rsid w:val="7013535D"/>
    <w:rsid w:val="701C417F"/>
    <w:rsid w:val="70225EAC"/>
    <w:rsid w:val="70258852"/>
    <w:rsid w:val="703526CA"/>
    <w:rsid w:val="703DE18C"/>
    <w:rsid w:val="704C9DAA"/>
    <w:rsid w:val="7059467D"/>
    <w:rsid w:val="705D3F5C"/>
    <w:rsid w:val="70661C54"/>
    <w:rsid w:val="706D0B74"/>
    <w:rsid w:val="70711625"/>
    <w:rsid w:val="708196B1"/>
    <w:rsid w:val="70821366"/>
    <w:rsid w:val="7082DB89"/>
    <w:rsid w:val="70860009"/>
    <w:rsid w:val="70899229"/>
    <w:rsid w:val="70A52F5B"/>
    <w:rsid w:val="70A9D155"/>
    <w:rsid w:val="70B050F7"/>
    <w:rsid w:val="70BFF4FF"/>
    <w:rsid w:val="70C2F14E"/>
    <w:rsid w:val="70CB477A"/>
    <w:rsid w:val="70E2DBD7"/>
    <w:rsid w:val="70F2FFFD"/>
    <w:rsid w:val="711B5441"/>
    <w:rsid w:val="712613E5"/>
    <w:rsid w:val="712B69F7"/>
    <w:rsid w:val="713D436E"/>
    <w:rsid w:val="714A7AAB"/>
    <w:rsid w:val="714ED1C6"/>
    <w:rsid w:val="7155233B"/>
    <w:rsid w:val="71591DAA"/>
    <w:rsid w:val="71651BA8"/>
    <w:rsid w:val="7171EBEF"/>
    <w:rsid w:val="7174971F"/>
    <w:rsid w:val="7178133D"/>
    <w:rsid w:val="717CCDF8"/>
    <w:rsid w:val="7183F18F"/>
    <w:rsid w:val="71846945"/>
    <w:rsid w:val="71ADB2B4"/>
    <w:rsid w:val="71B259F1"/>
    <w:rsid w:val="71B5C3BC"/>
    <w:rsid w:val="71BCC93F"/>
    <w:rsid w:val="71CBD74A"/>
    <w:rsid w:val="71CBEFCF"/>
    <w:rsid w:val="71CDE7DF"/>
    <w:rsid w:val="71D39A7D"/>
    <w:rsid w:val="71D84C13"/>
    <w:rsid w:val="71DB6B95"/>
    <w:rsid w:val="71E3AFCE"/>
    <w:rsid w:val="71E812B3"/>
    <w:rsid w:val="71F4882B"/>
    <w:rsid w:val="71F9CEE4"/>
    <w:rsid w:val="71FC245A"/>
    <w:rsid w:val="7209580F"/>
    <w:rsid w:val="720F1BAD"/>
    <w:rsid w:val="72365D44"/>
    <w:rsid w:val="72376891"/>
    <w:rsid w:val="724946ED"/>
    <w:rsid w:val="724B0E1C"/>
    <w:rsid w:val="72689D51"/>
    <w:rsid w:val="726BC802"/>
    <w:rsid w:val="726E9065"/>
    <w:rsid w:val="727C9D22"/>
    <w:rsid w:val="727D373A"/>
    <w:rsid w:val="7280EEF0"/>
    <w:rsid w:val="728329CB"/>
    <w:rsid w:val="72986A28"/>
    <w:rsid w:val="72986F6E"/>
    <w:rsid w:val="72A0C2F3"/>
    <w:rsid w:val="72B5FA1A"/>
    <w:rsid w:val="72B97BE3"/>
    <w:rsid w:val="72C99CFD"/>
    <w:rsid w:val="72D5CDB0"/>
    <w:rsid w:val="72D98C7D"/>
    <w:rsid w:val="72DA1EC2"/>
    <w:rsid w:val="72DAE7D4"/>
    <w:rsid w:val="72F3A64D"/>
    <w:rsid w:val="72F9F60C"/>
    <w:rsid w:val="72FEDEE4"/>
    <w:rsid w:val="7301FFD9"/>
    <w:rsid w:val="7311F95F"/>
    <w:rsid w:val="731CE117"/>
    <w:rsid w:val="732F977B"/>
    <w:rsid w:val="733C920D"/>
    <w:rsid w:val="733D1900"/>
    <w:rsid w:val="73449C73"/>
    <w:rsid w:val="7344BF96"/>
    <w:rsid w:val="7349EC2F"/>
    <w:rsid w:val="734C7AC3"/>
    <w:rsid w:val="735E65AA"/>
    <w:rsid w:val="736E6CCA"/>
    <w:rsid w:val="736F3D6A"/>
    <w:rsid w:val="7371C951"/>
    <w:rsid w:val="7372F90F"/>
    <w:rsid w:val="7381A070"/>
    <w:rsid w:val="739DED71"/>
    <w:rsid w:val="73B0C010"/>
    <w:rsid w:val="73B8155A"/>
    <w:rsid w:val="73CDB9A2"/>
    <w:rsid w:val="73DC20F5"/>
    <w:rsid w:val="73DCE81D"/>
    <w:rsid w:val="73FFD9EB"/>
    <w:rsid w:val="74027709"/>
    <w:rsid w:val="7405F252"/>
    <w:rsid w:val="7420E481"/>
    <w:rsid w:val="7430538D"/>
    <w:rsid w:val="74398098"/>
    <w:rsid w:val="744E0116"/>
    <w:rsid w:val="744E99B4"/>
    <w:rsid w:val="7451F1B4"/>
    <w:rsid w:val="745A199F"/>
    <w:rsid w:val="745A33A0"/>
    <w:rsid w:val="745D986F"/>
    <w:rsid w:val="746B0A90"/>
    <w:rsid w:val="748B2B6D"/>
    <w:rsid w:val="748EECBA"/>
    <w:rsid w:val="74956162"/>
    <w:rsid w:val="749F450E"/>
    <w:rsid w:val="74A144E0"/>
    <w:rsid w:val="74A21A01"/>
    <w:rsid w:val="74AF466E"/>
    <w:rsid w:val="74B761B1"/>
    <w:rsid w:val="74C5DCC4"/>
    <w:rsid w:val="74C94A1F"/>
    <w:rsid w:val="74C94FEA"/>
    <w:rsid w:val="74D25469"/>
    <w:rsid w:val="74DD8655"/>
    <w:rsid w:val="74E6439C"/>
    <w:rsid w:val="74E64538"/>
    <w:rsid w:val="74EF105E"/>
    <w:rsid w:val="74FF7CCB"/>
    <w:rsid w:val="75017666"/>
    <w:rsid w:val="7501CECE"/>
    <w:rsid w:val="75032090"/>
    <w:rsid w:val="7520ADB4"/>
    <w:rsid w:val="752FD8A7"/>
    <w:rsid w:val="7534B264"/>
    <w:rsid w:val="75368D30"/>
    <w:rsid w:val="7536EC83"/>
    <w:rsid w:val="753A2810"/>
    <w:rsid w:val="754503E9"/>
    <w:rsid w:val="754D4960"/>
    <w:rsid w:val="7555C91B"/>
    <w:rsid w:val="7559454D"/>
    <w:rsid w:val="755C21A3"/>
    <w:rsid w:val="756A248E"/>
    <w:rsid w:val="756DCC4B"/>
    <w:rsid w:val="75736797"/>
    <w:rsid w:val="75744E06"/>
    <w:rsid w:val="75795898"/>
    <w:rsid w:val="758BD8C6"/>
    <w:rsid w:val="758F6F3C"/>
    <w:rsid w:val="7599B23E"/>
    <w:rsid w:val="759EE43F"/>
    <w:rsid w:val="75BAA03A"/>
    <w:rsid w:val="75BE9E77"/>
    <w:rsid w:val="75DF4403"/>
    <w:rsid w:val="75E1799E"/>
    <w:rsid w:val="75EEE93C"/>
    <w:rsid w:val="76197745"/>
    <w:rsid w:val="762601B4"/>
    <w:rsid w:val="762B3F34"/>
    <w:rsid w:val="763B7F58"/>
    <w:rsid w:val="765108B3"/>
    <w:rsid w:val="76523785"/>
    <w:rsid w:val="76538B10"/>
    <w:rsid w:val="76595516"/>
    <w:rsid w:val="767174F2"/>
    <w:rsid w:val="76721F0A"/>
    <w:rsid w:val="76775BED"/>
    <w:rsid w:val="7695B8BD"/>
    <w:rsid w:val="76A0B7E9"/>
    <w:rsid w:val="76AD6E93"/>
    <w:rsid w:val="76D653B4"/>
    <w:rsid w:val="76DF2DE5"/>
    <w:rsid w:val="76DFD58F"/>
    <w:rsid w:val="76F0F939"/>
    <w:rsid w:val="76F853DD"/>
    <w:rsid w:val="76F87310"/>
    <w:rsid w:val="76FEACDE"/>
    <w:rsid w:val="77033E2B"/>
    <w:rsid w:val="7719846E"/>
    <w:rsid w:val="77367126"/>
    <w:rsid w:val="773CF5F0"/>
    <w:rsid w:val="7740D200"/>
    <w:rsid w:val="774423A3"/>
    <w:rsid w:val="7755A768"/>
    <w:rsid w:val="775FEF76"/>
    <w:rsid w:val="7778363F"/>
    <w:rsid w:val="777BDCE5"/>
    <w:rsid w:val="77872F1D"/>
    <w:rsid w:val="77880E94"/>
    <w:rsid w:val="77934EE6"/>
    <w:rsid w:val="77AE511C"/>
    <w:rsid w:val="77AF3688"/>
    <w:rsid w:val="77B4C8B8"/>
    <w:rsid w:val="77C8C402"/>
    <w:rsid w:val="77CA90E6"/>
    <w:rsid w:val="77D1327A"/>
    <w:rsid w:val="77EF3120"/>
    <w:rsid w:val="77F549D6"/>
    <w:rsid w:val="7807D551"/>
    <w:rsid w:val="78115743"/>
    <w:rsid w:val="78177D8C"/>
    <w:rsid w:val="7822A75E"/>
    <w:rsid w:val="7828C72B"/>
    <w:rsid w:val="78316088"/>
    <w:rsid w:val="7831EC3A"/>
    <w:rsid w:val="7832D494"/>
    <w:rsid w:val="7834EF29"/>
    <w:rsid w:val="78354AB2"/>
    <w:rsid w:val="783E2D7C"/>
    <w:rsid w:val="7842F2A3"/>
    <w:rsid w:val="78491559"/>
    <w:rsid w:val="78555AAF"/>
    <w:rsid w:val="785FD550"/>
    <w:rsid w:val="78666C7D"/>
    <w:rsid w:val="7866D13E"/>
    <w:rsid w:val="786A8833"/>
    <w:rsid w:val="78767E35"/>
    <w:rsid w:val="78767E94"/>
    <w:rsid w:val="78834FD3"/>
    <w:rsid w:val="788C1AD6"/>
    <w:rsid w:val="789D21BF"/>
    <w:rsid w:val="78AAA338"/>
    <w:rsid w:val="78AD5A25"/>
    <w:rsid w:val="78D3D6AE"/>
    <w:rsid w:val="78E14335"/>
    <w:rsid w:val="78E56682"/>
    <w:rsid w:val="78F17B56"/>
    <w:rsid w:val="78F29D22"/>
    <w:rsid w:val="790C76F5"/>
    <w:rsid w:val="790ED8AF"/>
    <w:rsid w:val="79113B9B"/>
    <w:rsid w:val="79338ED1"/>
    <w:rsid w:val="793EECCB"/>
    <w:rsid w:val="793F1DD9"/>
    <w:rsid w:val="793F983A"/>
    <w:rsid w:val="7941B398"/>
    <w:rsid w:val="7964FE4D"/>
    <w:rsid w:val="7965A53E"/>
    <w:rsid w:val="798E0A23"/>
    <w:rsid w:val="79938E95"/>
    <w:rsid w:val="799EF989"/>
    <w:rsid w:val="79A10C68"/>
    <w:rsid w:val="79A225E1"/>
    <w:rsid w:val="79A9F6FF"/>
    <w:rsid w:val="79B41359"/>
    <w:rsid w:val="79BE39EB"/>
    <w:rsid w:val="79C28C0E"/>
    <w:rsid w:val="79C71D95"/>
    <w:rsid w:val="79D7052A"/>
    <w:rsid w:val="79D7285D"/>
    <w:rsid w:val="79D78613"/>
    <w:rsid w:val="79EF378B"/>
    <w:rsid w:val="7A00508B"/>
    <w:rsid w:val="7A010AAE"/>
    <w:rsid w:val="7A03CA03"/>
    <w:rsid w:val="7A103622"/>
    <w:rsid w:val="7A12A51B"/>
    <w:rsid w:val="7A157FF8"/>
    <w:rsid w:val="7A287B08"/>
    <w:rsid w:val="7A311DE6"/>
    <w:rsid w:val="7A4993D3"/>
    <w:rsid w:val="7A4CD4B8"/>
    <w:rsid w:val="7A55FC60"/>
    <w:rsid w:val="7A573EE1"/>
    <w:rsid w:val="7A6A60B6"/>
    <w:rsid w:val="7A6BC813"/>
    <w:rsid w:val="7A788963"/>
    <w:rsid w:val="7A7F7040"/>
    <w:rsid w:val="7A80A77B"/>
    <w:rsid w:val="7A858F6A"/>
    <w:rsid w:val="7A94EF9E"/>
    <w:rsid w:val="7AAF90EA"/>
    <w:rsid w:val="7AAFC45A"/>
    <w:rsid w:val="7AB08E91"/>
    <w:rsid w:val="7AB20526"/>
    <w:rsid w:val="7ABE54AC"/>
    <w:rsid w:val="7ABEBE7C"/>
    <w:rsid w:val="7AC535B5"/>
    <w:rsid w:val="7AC8DABE"/>
    <w:rsid w:val="7AD2BB07"/>
    <w:rsid w:val="7AF21DC1"/>
    <w:rsid w:val="7B00F772"/>
    <w:rsid w:val="7B0D061A"/>
    <w:rsid w:val="7B39CD67"/>
    <w:rsid w:val="7B4AFC14"/>
    <w:rsid w:val="7B5B21FB"/>
    <w:rsid w:val="7B5D159B"/>
    <w:rsid w:val="7B623689"/>
    <w:rsid w:val="7B651258"/>
    <w:rsid w:val="7B6D32FF"/>
    <w:rsid w:val="7B6DBD8D"/>
    <w:rsid w:val="7B74D930"/>
    <w:rsid w:val="7B7548E3"/>
    <w:rsid w:val="7B7BCD6E"/>
    <w:rsid w:val="7B823C7A"/>
    <w:rsid w:val="7B867D5C"/>
    <w:rsid w:val="7B9391ED"/>
    <w:rsid w:val="7B93F1C3"/>
    <w:rsid w:val="7B94855B"/>
    <w:rsid w:val="7B9C64ED"/>
    <w:rsid w:val="7BA44DF4"/>
    <w:rsid w:val="7BB08A7D"/>
    <w:rsid w:val="7BBBA736"/>
    <w:rsid w:val="7BC07154"/>
    <w:rsid w:val="7BC52CBD"/>
    <w:rsid w:val="7BC6F0AC"/>
    <w:rsid w:val="7BCCB3E9"/>
    <w:rsid w:val="7BE6D0F7"/>
    <w:rsid w:val="7BE7BBD2"/>
    <w:rsid w:val="7BE9AFF4"/>
    <w:rsid w:val="7BFD4EE8"/>
    <w:rsid w:val="7C126B2C"/>
    <w:rsid w:val="7C128858"/>
    <w:rsid w:val="7C1B76B7"/>
    <w:rsid w:val="7C23E6F9"/>
    <w:rsid w:val="7C385240"/>
    <w:rsid w:val="7C38BDA9"/>
    <w:rsid w:val="7C3D18A3"/>
    <w:rsid w:val="7C4A9A71"/>
    <w:rsid w:val="7C4F2CB4"/>
    <w:rsid w:val="7C501504"/>
    <w:rsid w:val="7C5521E6"/>
    <w:rsid w:val="7C618EC2"/>
    <w:rsid w:val="7C649355"/>
    <w:rsid w:val="7C71C3AF"/>
    <w:rsid w:val="7C738E52"/>
    <w:rsid w:val="7C74F563"/>
    <w:rsid w:val="7C7A7FF4"/>
    <w:rsid w:val="7C8201DB"/>
    <w:rsid w:val="7C870145"/>
    <w:rsid w:val="7C99892A"/>
    <w:rsid w:val="7C9ACC17"/>
    <w:rsid w:val="7CC49C43"/>
    <w:rsid w:val="7CC67079"/>
    <w:rsid w:val="7CCBDF19"/>
    <w:rsid w:val="7CDC691D"/>
    <w:rsid w:val="7CE7148B"/>
    <w:rsid w:val="7CEEA486"/>
    <w:rsid w:val="7CF01C43"/>
    <w:rsid w:val="7D037BA7"/>
    <w:rsid w:val="7D04B8A2"/>
    <w:rsid w:val="7D1590A5"/>
    <w:rsid w:val="7D25BF58"/>
    <w:rsid w:val="7D29AD2A"/>
    <w:rsid w:val="7D4990D9"/>
    <w:rsid w:val="7D51A0DF"/>
    <w:rsid w:val="7D5BCDD5"/>
    <w:rsid w:val="7D5D82FE"/>
    <w:rsid w:val="7D66F75F"/>
    <w:rsid w:val="7D7D8ACD"/>
    <w:rsid w:val="7D82F487"/>
    <w:rsid w:val="7D85E382"/>
    <w:rsid w:val="7D8638FF"/>
    <w:rsid w:val="7DA44EA1"/>
    <w:rsid w:val="7DB06AB4"/>
    <w:rsid w:val="7DBB9779"/>
    <w:rsid w:val="7DBBDC35"/>
    <w:rsid w:val="7DBC8F1A"/>
    <w:rsid w:val="7DC84754"/>
    <w:rsid w:val="7DCCDC59"/>
    <w:rsid w:val="7DCF5160"/>
    <w:rsid w:val="7DD0C737"/>
    <w:rsid w:val="7DD9D27C"/>
    <w:rsid w:val="7DDC70D8"/>
    <w:rsid w:val="7DEC9A1F"/>
    <w:rsid w:val="7DEDDE73"/>
    <w:rsid w:val="7DEF25DB"/>
    <w:rsid w:val="7DFD21E7"/>
    <w:rsid w:val="7E06953E"/>
    <w:rsid w:val="7E0E46FE"/>
    <w:rsid w:val="7E0FE026"/>
    <w:rsid w:val="7E17B18A"/>
    <w:rsid w:val="7E1999CC"/>
    <w:rsid w:val="7E1DBE91"/>
    <w:rsid w:val="7E1E7807"/>
    <w:rsid w:val="7E212018"/>
    <w:rsid w:val="7E2D8D79"/>
    <w:rsid w:val="7E2FFDB4"/>
    <w:rsid w:val="7E384CF4"/>
    <w:rsid w:val="7E3AB63C"/>
    <w:rsid w:val="7E688C3A"/>
    <w:rsid w:val="7E8526C1"/>
    <w:rsid w:val="7E9DD150"/>
    <w:rsid w:val="7E9DFB57"/>
    <w:rsid w:val="7EB5B968"/>
    <w:rsid w:val="7EB7720D"/>
    <w:rsid w:val="7EB8B1E9"/>
    <w:rsid w:val="7ECFD7E8"/>
    <w:rsid w:val="7EDDCD5A"/>
    <w:rsid w:val="7EE7AA28"/>
    <w:rsid w:val="7EEDA8B9"/>
    <w:rsid w:val="7EF2CA3C"/>
    <w:rsid w:val="7EF37A8D"/>
    <w:rsid w:val="7EF89E08"/>
    <w:rsid w:val="7F018F28"/>
    <w:rsid w:val="7F0399A8"/>
    <w:rsid w:val="7F10E014"/>
    <w:rsid w:val="7F144449"/>
    <w:rsid w:val="7F26998B"/>
    <w:rsid w:val="7F2EA2FA"/>
    <w:rsid w:val="7F3F2415"/>
    <w:rsid w:val="7F4D2225"/>
    <w:rsid w:val="7F50174B"/>
    <w:rsid w:val="7F51C22A"/>
    <w:rsid w:val="7F5915EB"/>
    <w:rsid w:val="7F63CC8F"/>
    <w:rsid w:val="7F6492AE"/>
    <w:rsid w:val="7F6FD3C7"/>
    <w:rsid w:val="7F74FDC7"/>
    <w:rsid w:val="7F7B165F"/>
    <w:rsid w:val="7FA2FFDE"/>
    <w:rsid w:val="7FABABBD"/>
    <w:rsid w:val="7FAF7E8D"/>
    <w:rsid w:val="7FB3322B"/>
    <w:rsid w:val="7FB39045"/>
    <w:rsid w:val="7FB5B071"/>
    <w:rsid w:val="7FB9C6D0"/>
    <w:rsid w:val="7FBFB74B"/>
    <w:rsid w:val="7FC0ED30"/>
    <w:rsid w:val="7FCBFF88"/>
    <w:rsid w:val="7FEB04FD"/>
    <w:rsid w:val="7FF0AD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B8095"/>
  <w15:docId w15:val="{E4272917-0F5B-4CCB-B19E-643ABFC5B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pBdr>
        <w:top w:val="single" w:sz="48" w:space="30" w:color="173162"/>
        <w:left w:val="nil"/>
        <w:bottom w:val="nil"/>
        <w:right w:val="nil"/>
        <w:between w:val="nil"/>
      </w:pBdr>
      <w:spacing w:before="360" w:after="1560" w:line="228" w:lineRule="auto"/>
      <w:ind w:left="1891" w:hanging="360"/>
      <w:outlineLvl w:val="0"/>
    </w:pPr>
    <w:rPr>
      <w:color w:val="000000"/>
      <w:sz w:val="96"/>
      <w:szCs w:val="96"/>
    </w:rPr>
  </w:style>
  <w:style w:type="paragraph" w:styleId="Heading2">
    <w:name w:val="heading 2"/>
    <w:basedOn w:val="Normal"/>
    <w:next w:val="Normal"/>
    <w:uiPriority w:val="9"/>
    <w:unhideWhenUsed/>
    <w:qFormat/>
    <w:pPr>
      <w:keepNext/>
      <w:keepLines/>
      <w:spacing w:before="600" w:after="240" w:line="228" w:lineRule="auto"/>
      <w:outlineLvl w:val="1"/>
    </w:pPr>
    <w:rPr>
      <w:color w:val="000000"/>
      <w:sz w:val="52"/>
      <w:szCs w:val="52"/>
    </w:rPr>
  </w:style>
  <w:style w:type="paragraph" w:styleId="Heading3">
    <w:name w:val="heading 3"/>
    <w:basedOn w:val="Normal"/>
    <w:next w:val="Normal"/>
    <w:uiPriority w:val="9"/>
    <w:unhideWhenUsed/>
    <w:qFormat/>
    <w:pPr>
      <w:keepNext/>
      <w:keepLines/>
      <w:spacing w:before="240" w:after="80" w:line="276" w:lineRule="auto"/>
      <w:outlineLvl w:val="2"/>
    </w:pPr>
    <w:rPr>
      <w:color w:val="173162"/>
      <w:sz w:val="36"/>
      <w:szCs w:val="36"/>
    </w:rPr>
  </w:style>
  <w:style w:type="paragraph" w:styleId="Heading4">
    <w:name w:val="heading 4"/>
    <w:basedOn w:val="Normal"/>
    <w:next w:val="Normal"/>
    <w:uiPriority w:val="9"/>
    <w:unhideWhenUsed/>
    <w:qFormat/>
    <w:pPr>
      <w:keepNext/>
      <w:keepLines/>
      <w:spacing w:before="240" w:after="80" w:line="276" w:lineRule="auto"/>
      <w:outlineLvl w:val="3"/>
    </w:pPr>
    <w:rPr>
      <w:color w:val="2A3245"/>
      <w:sz w:val="28"/>
      <w:szCs w:val="28"/>
    </w:rPr>
  </w:style>
  <w:style w:type="paragraph" w:styleId="Heading5">
    <w:name w:val="heading 5"/>
    <w:basedOn w:val="Normal"/>
    <w:next w:val="Normal"/>
    <w:uiPriority w:val="9"/>
    <w:semiHidden/>
    <w:unhideWhenUsed/>
    <w:qFormat/>
    <w:pPr>
      <w:keepNext/>
      <w:keepLines/>
      <w:spacing w:before="80" w:after="40"/>
      <w:outlineLvl w:val="4"/>
    </w:pPr>
    <w:rPr>
      <w:color w:val="00152C"/>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before="120" w:after="0"/>
    </w:pPr>
    <w:rPr>
      <w:sz w:val="32"/>
      <w:szCs w:val="32"/>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ED4F63"/>
    <w:pPr>
      <w:spacing w:after="100"/>
    </w:pPr>
  </w:style>
  <w:style w:type="paragraph" w:styleId="TOC2">
    <w:name w:val="toc 2"/>
    <w:basedOn w:val="Normal"/>
    <w:next w:val="Normal"/>
    <w:autoRedefine/>
    <w:uiPriority w:val="39"/>
    <w:unhideWhenUsed/>
    <w:rsid w:val="00ED4F63"/>
    <w:pPr>
      <w:spacing w:after="100"/>
      <w:ind w:left="220"/>
    </w:pPr>
  </w:style>
  <w:style w:type="character" w:styleId="Hyperlink">
    <w:name w:val="Hyperlink"/>
    <w:basedOn w:val="DefaultParagraphFont"/>
    <w:uiPriority w:val="99"/>
    <w:unhideWhenUsed/>
    <w:rsid w:val="00ED4F63"/>
    <w:rPr>
      <w:color w:val="0000FF" w:themeColor="hyperlink"/>
      <w:u w:val="single"/>
    </w:rPr>
  </w:style>
  <w:style w:type="paragraph" w:styleId="ListParagraph">
    <w:name w:val="List Paragraph"/>
    <w:basedOn w:val="Normal"/>
    <w:uiPriority w:val="34"/>
    <w:qFormat/>
    <w:rsid w:val="7E2D8D79"/>
    <w:pPr>
      <w:ind w:left="720"/>
      <w:contextualSpacing/>
    </w:p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5F0D8D"/>
    <w:pPr>
      <w:tabs>
        <w:tab w:val="center" w:pos="4513"/>
        <w:tab w:val="right" w:pos="9026"/>
      </w:tabs>
      <w:spacing w:after="0"/>
    </w:pPr>
  </w:style>
  <w:style w:type="character" w:customStyle="1" w:styleId="HeaderChar">
    <w:name w:val="Header Char"/>
    <w:basedOn w:val="DefaultParagraphFont"/>
    <w:link w:val="Header"/>
    <w:uiPriority w:val="99"/>
    <w:semiHidden/>
    <w:rsid w:val="005F0D8D"/>
  </w:style>
  <w:style w:type="paragraph" w:styleId="Footer">
    <w:name w:val="footer"/>
    <w:basedOn w:val="Normal"/>
    <w:link w:val="FooterChar"/>
    <w:uiPriority w:val="99"/>
    <w:semiHidden/>
    <w:unhideWhenUsed/>
    <w:rsid w:val="005F0D8D"/>
    <w:pPr>
      <w:tabs>
        <w:tab w:val="center" w:pos="4513"/>
        <w:tab w:val="right" w:pos="9026"/>
      </w:tabs>
      <w:spacing w:after="0"/>
    </w:pPr>
  </w:style>
  <w:style w:type="character" w:customStyle="1" w:styleId="FooterChar">
    <w:name w:val="Footer Char"/>
    <w:basedOn w:val="DefaultParagraphFont"/>
    <w:link w:val="Footer"/>
    <w:uiPriority w:val="99"/>
    <w:semiHidden/>
    <w:rsid w:val="005F0D8D"/>
  </w:style>
  <w:style w:type="paragraph" w:styleId="FootnoteText">
    <w:name w:val="footnote text"/>
    <w:basedOn w:val="Normal"/>
    <w:link w:val="FootnoteTextChar"/>
    <w:uiPriority w:val="99"/>
    <w:semiHidden/>
    <w:unhideWhenUsed/>
    <w:rsid w:val="005B1EA8"/>
    <w:pPr>
      <w:spacing w:after="0"/>
    </w:pPr>
    <w:rPr>
      <w:sz w:val="20"/>
      <w:szCs w:val="20"/>
    </w:rPr>
  </w:style>
  <w:style w:type="character" w:customStyle="1" w:styleId="FootnoteTextChar">
    <w:name w:val="Footnote Text Char"/>
    <w:basedOn w:val="DefaultParagraphFont"/>
    <w:link w:val="FootnoteText"/>
    <w:uiPriority w:val="99"/>
    <w:semiHidden/>
    <w:rsid w:val="005B1EA8"/>
    <w:rPr>
      <w:sz w:val="20"/>
      <w:szCs w:val="20"/>
    </w:rPr>
  </w:style>
  <w:style w:type="character" w:styleId="FootnoteReference">
    <w:name w:val="footnote reference"/>
    <w:basedOn w:val="DefaultParagraphFont"/>
    <w:uiPriority w:val="99"/>
    <w:semiHidden/>
    <w:unhideWhenUsed/>
    <w:rsid w:val="005B1EA8"/>
    <w:rPr>
      <w:vertAlign w:val="superscript"/>
    </w:rPr>
  </w:style>
  <w:style w:type="paragraph" w:styleId="CommentSubject">
    <w:name w:val="annotation subject"/>
    <w:basedOn w:val="CommentText"/>
    <w:next w:val="CommentText"/>
    <w:link w:val="CommentSubjectChar"/>
    <w:uiPriority w:val="99"/>
    <w:semiHidden/>
    <w:unhideWhenUsed/>
    <w:rsid w:val="005B0BDF"/>
    <w:rPr>
      <w:b/>
      <w:bCs/>
    </w:rPr>
  </w:style>
  <w:style w:type="character" w:customStyle="1" w:styleId="CommentSubjectChar">
    <w:name w:val="Comment Subject Char"/>
    <w:basedOn w:val="CommentTextChar"/>
    <w:link w:val="CommentSubject"/>
    <w:uiPriority w:val="99"/>
    <w:semiHidden/>
    <w:rsid w:val="005B0B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3752">
      <w:bodyDiv w:val="1"/>
      <w:marLeft w:val="0"/>
      <w:marRight w:val="0"/>
      <w:marTop w:val="0"/>
      <w:marBottom w:val="0"/>
      <w:divBdr>
        <w:top w:val="none" w:sz="0" w:space="0" w:color="auto"/>
        <w:left w:val="none" w:sz="0" w:space="0" w:color="auto"/>
        <w:bottom w:val="none" w:sz="0" w:space="0" w:color="auto"/>
        <w:right w:val="none" w:sz="0" w:space="0" w:color="auto"/>
      </w:divBdr>
      <w:divsChild>
        <w:div w:id="170085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983764">
      <w:bodyDiv w:val="1"/>
      <w:marLeft w:val="0"/>
      <w:marRight w:val="0"/>
      <w:marTop w:val="0"/>
      <w:marBottom w:val="0"/>
      <w:divBdr>
        <w:top w:val="none" w:sz="0" w:space="0" w:color="auto"/>
        <w:left w:val="none" w:sz="0" w:space="0" w:color="auto"/>
        <w:bottom w:val="none" w:sz="0" w:space="0" w:color="auto"/>
        <w:right w:val="none" w:sz="0" w:space="0" w:color="auto"/>
      </w:divBdr>
    </w:div>
    <w:div w:id="168956252">
      <w:bodyDiv w:val="1"/>
      <w:marLeft w:val="0"/>
      <w:marRight w:val="0"/>
      <w:marTop w:val="0"/>
      <w:marBottom w:val="0"/>
      <w:divBdr>
        <w:top w:val="none" w:sz="0" w:space="0" w:color="auto"/>
        <w:left w:val="none" w:sz="0" w:space="0" w:color="auto"/>
        <w:bottom w:val="none" w:sz="0" w:space="0" w:color="auto"/>
        <w:right w:val="none" w:sz="0" w:space="0" w:color="auto"/>
      </w:divBdr>
    </w:div>
    <w:div w:id="219899662">
      <w:bodyDiv w:val="1"/>
      <w:marLeft w:val="0"/>
      <w:marRight w:val="0"/>
      <w:marTop w:val="0"/>
      <w:marBottom w:val="0"/>
      <w:divBdr>
        <w:top w:val="none" w:sz="0" w:space="0" w:color="auto"/>
        <w:left w:val="none" w:sz="0" w:space="0" w:color="auto"/>
        <w:bottom w:val="none" w:sz="0" w:space="0" w:color="auto"/>
        <w:right w:val="none" w:sz="0" w:space="0" w:color="auto"/>
      </w:divBdr>
      <w:divsChild>
        <w:div w:id="1935164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968739">
      <w:bodyDiv w:val="1"/>
      <w:marLeft w:val="0"/>
      <w:marRight w:val="0"/>
      <w:marTop w:val="0"/>
      <w:marBottom w:val="0"/>
      <w:divBdr>
        <w:top w:val="none" w:sz="0" w:space="0" w:color="auto"/>
        <w:left w:val="none" w:sz="0" w:space="0" w:color="auto"/>
        <w:bottom w:val="none" w:sz="0" w:space="0" w:color="auto"/>
        <w:right w:val="none" w:sz="0" w:space="0" w:color="auto"/>
      </w:divBdr>
    </w:div>
    <w:div w:id="298343414">
      <w:bodyDiv w:val="1"/>
      <w:marLeft w:val="0"/>
      <w:marRight w:val="0"/>
      <w:marTop w:val="0"/>
      <w:marBottom w:val="0"/>
      <w:divBdr>
        <w:top w:val="none" w:sz="0" w:space="0" w:color="auto"/>
        <w:left w:val="none" w:sz="0" w:space="0" w:color="auto"/>
        <w:bottom w:val="none" w:sz="0" w:space="0" w:color="auto"/>
        <w:right w:val="none" w:sz="0" w:space="0" w:color="auto"/>
      </w:divBdr>
      <w:divsChild>
        <w:div w:id="43605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3316928">
      <w:bodyDiv w:val="1"/>
      <w:marLeft w:val="0"/>
      <w:marRight w:val="0"/>
      <w:marTop w:val="0"/>
      <w:marBottom w:val="0"/>
      <w:divBdr>
        <w:top w:val="none" w:sz="0" w:space="0" w:color="auto"/>
        <w:left w:val="none" w:sz="0" w:space="0" w:color="auto"/>
        <w:bottom w:val="none" w:sz="0" w:space="0" w:color="auto"/>
        <w:right w:val="none" w:sz="0" w:space="0" w:color="auto"/>
      </w:divBdr>
      <w:divsChild>
        <w:div w:id="531958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273228">
      <w:bodyDiv w:val="1"/>
      <w:marLeft w:val="0"/>
      <w:marRight w:val="0"/>
      <w:marTop w:val="0"/>
      <w:marBottom w:val="0"/>
      <w:divBdr>
        <w:top w:val="none" w:sz="0" w:space="0" w:color="auto"/>
        <w:left w:val="none" w:sz="0" w:space="0" w:color="auto"/>
        <w:bottom w:val="none" w:sz="0" w:space="0" w:color="auto"/>
        <w:right w:val="none" w:sz="0" w:space="0" w:color="auto"/>
      </w:divBdr>
      <w:divsChild>
        <w:div w:id="936988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469238">
      <w:bodyDiv w:val="1"/>
      <w:marLeft w:val="0"/>
      <w:marRight w:val="0"/>
      <w:marTop w:val="0"/>
      <w:marBottom w:val="0"/>
      <w:divBdr>
        <w:top w:val="none" w:sz="0" w:space="0" w:color="auto"/>
        <w:left w:val="none" w:sz="0" w:space="0" w:color="auto"/>
        <w:bottom w:val="none" w:sz="0" w:space="0" w:color="auto"/>
        <w:right w:val="none" w:sz="0" w:space="0" w:color="auto"/>
      </w:divBdr>
      <w:divsChild>
        <w:div w:id="98449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8866462">
      <w:bodyDiv w:val="1"/>
      <w:marLeft w:val="0"/>
      <w:marRight w:val="0"/>
      <w:marTop w:val="0"/>
      <w:marBottom w:val="0"/>
      <w:divBdr>
        <w:top w:val="none" w:sz="0" w:space="0" w:color="auto"/>
        <w:left w:val="none" w:sz="0" w:space="0" w:color="auto"/>
        <w:bottom w:val="none" w:sz="0" w:space="0" w:color="auto"/>
        <w:right w:val="none" w:sz="0" w:space="0" w:color="auto"/>
      </w:divBdr>
    </w:div>
    <w:div w:id="566307600">
      <w:bodyDiv w:val="1"/>
      <w:marLeft w:val="0"/>
      <w:marRight w:val="0"/>
      <w:marTop w:val="0"/>
      <w:marBottom w:val="0"/>
      <w:divBdr>
        <w:top w:val="none" w:sz="0" w:space="0" w:color="auto"/>
        <w:left w:val="none" w:sz="0" w:space="0" w:color="auto"/>
        <w:bottom w:val="none" w:sz="0" w:space="0" w:color="auto"/>
        <w:right w:val="none" w:sz="0" w:space="0" w:color="auto"/>
      </w:divBdr>
    </w:div>
    <w:div w:id="613633534">
      <w:bodyDiv w:val="1"/>
      <w:marLeft w:val="0"/>
      <w:marRight w:val="0"/>
      <w:marTop w:val="0"/>
      <w:marBottom w:val="0"/>
      <w:divBdr>
        <w:top w:val="none" w:sz="0" w:space="0" w:color="auto"/>
        <w:left w:val="none" w:sz="0" w:space="0" w:color="auto"/>
        <w:bottom w:val="none" w:sz="0" w:space="0" w:color="auto"/>
        <w:right w:val="none" w:sz="0" w:space="0" w:color="auto"/>
      </w:divBdr>
      <w:divsChild>
        <w:div w:id="1811243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5665825">
      <w:bodyDiv w:val="1"/>
      <w:marLeft w:val="0"/>
      <w:marRight w:val="0"/>
      <w:marTop w:val="0"/>
      <w:marBottom w:val="0"/>
      <w:divBdr>
        <w:top w:val="none" w:sz="0" w:space="0" w:color="auto"/>
        <w:left w:val="none" w:sz="0" w:space="0" w:color="auto"/>
        <w:bottom w:val="none" w:sz="0" w:space="0" w:color="auto"/>
        <w:right w:val="none" w:sz="0" w:space="0" w:color="auto"/>
      </w:divBdr>
    </w:div>
    <w:div w:id="709459499">
      <w:bodyDiv w:val="1"/>
      <w:marLeft w:val="0"/>
      <w:marRight w:val="0"/>
      <w:marTop w:val="0"/>
      <w:marBottom w:val="0"/>
      <w:divBdr>
        <w:top w:val="none" w:sz="0" w:space="0" w:color="auto"/>
        <w:left w:val="none" w:sz="0" w:space="0" w:color="auto"/>
        <w:bottom w:val="none" w:sz="0" w:space="0" w:color="auto"/>
        <w:right w:val="none" w:sz="0" w:space="0" w:color="auto"/>
      </w:divBdr>
      <w:divsChild>
        <w:div w:id="1592202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4621533">
      <w:bodyDiv w:val="1"/>
      <w:marLeft w:val="0"/>
      <w:marRight w:val="0"/>
      <w:marTop w:val="0"/>
      <w:marBottom w:val="0"/>
      <w:divBdr>
        <w:top w:val="none" w:sz="0" w:space="0" w:color="auto"/>
        <w:left w:val="none" w:sz="0" w:space="0" w:color="auto"/>
        <w:bottom w:val="none" w:sz="0" w:space="0" w:color="auto"/>
        <w:right w:val="none" w:sz="0" w:space="0" w:color="auto"/>
      </w:divBdr>
      <w:divsChild>
        <w:div w:id="1172376725">
          <w:marLeft w:val="0"/>
          <w:marRight w:val="0"/>
          <w:marTop w:val="0"/>
          <w:marBottom w:val="0"/>
          <w:divBdr>
            <w:top w:val="single" w:sz="2" w:space="0" w:color="E5E7EB"/>
            <w:left w:val="single" w:sz="2" w:space="0" w:color="E5E7EB"/>
            <w:bottom w:val="single" w:sz="2" w:space="0" w:color="E5E7EB"/>
            <w:right w:val="single" w:sz="2" w:space="0" w:color="E5E7EB"/>
          </w:divBdr>
          <w:divsChild>
            <w:div w:id="232931601">
              <w:marLeft w:val="0"/>
              <w:marRight w:val="0"/>
              <w:marTop w:val="0"/>
              <w:marBottom w:val="0"/>
              <w:divBdr>
                <w:top w:val="single" w:sz="2" w:space="0" w:color="E5E7EB"/>
                <w:left w:val="single" w:sz="2" w:space="0" w:color="E5E7EB"/>
                <w:bottom w:val="single" w:sz="2" w:space="0" w:color="E5E7EB"/>
                <w:right w:val="single" w:sz="2" w:space="0" w:color="E5E7EB"/>
              </w:divBdr>
              <w:divsChild>
                <w:div w:id="1933002744">
                  <w:marLeft w:val="0"/>
                  <w:marRight w:val="0"/>
                  <w:marTop w:val="0"/>
                  <w:marBottom w:val="0"/>
                  <w:divBdr>
                    <w:top w:val="single" w:sz="2" w:space="0" w:color="E5E7EB"/>
                    <w:left w:val="single" w:sz="2" w:space="0" w:color="E5E7EB"/>
                    <w:bottom w:val="single" w:sz="2" w:space="0" w:color="E5E7EB"/>
                    <w:right w:val="single" w:sz="2" w:space="0" w:color="E5E7EB"/>
                  </w:divBdr>
                  <w:divsChild>
                    <w:div w:id="676033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7400841">
      <w:bodyDiv w:val="1"/>
      <w:marLeft w:val="0"/>
      <w:marRight w:val="0"/>
      <w:marTop w:val="0"/>
      <w:marBottom w:val="0"/>
      <w:divBdr>
        <w:top w:val="none" w:sz="0" w:space="0" w:color="auto"/>
        <w:left w:val="none" w:sz="0" w:space="0" w:color="auto"/>
        <w:bottom w:val="none" w:sz="0" w:space="0" w:color="auto"/>
        <w:right w:val="none" w:sz="0" w:space="0" w:color="auto"/>
      </w:divBdr>
    </w:div>
    <w:div w:id="975380619">
      <w:bodyDiv w:val="1"/>
      <w:marLeft w:val="0"/>
      <w:marRight w:val="0"/>
      <w:marTop w:val="0"/>
      <w:marBottom w:val="0"/>
      <w:divBdr>
        <w:top w:val="none" w:sz="0" w:space="0" w:color="auto"/>
        <w:left w:val="none" w:sz="0" w:space="0" w:color="auto"/>
        <w:bottom w:val="none" w:sz="0" w:space="0" w:color="auto"/>
        <w:right w:val="none" w:sz="0" w:space="0" w:color="auto"/>
      </w:divBdr>
      <w:divsChild>
        <w:div w:id="1291594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1993556">
      <w:bodyDiv w:val="1"/>
      <w:marLeft w:val="0"/>
      <w:marRight w:val="0"/>
      <w:marTop w:val="0"/>
      <w:marBottom w:val="0"/>
      <w:divBdr>
        <w:top w:val="none" w:sz="0" w:space="0" w:color="auto"/>
        <w:left w:val="none" w:sz="0" w:space="0" w:color="auto"/>
        <w:bottom w:val="none" w:sz="0" w:space="0" w:color="auto"/>
        <w:right w:val="none" w:sz="0" w:space="0" w:color="auto"/>
      </w:divBdr>
      <w:divsChild>
        <w:div w:id="100489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7755460">
      <w:bodyDiv w:val="1"/>
      <w:marLeft w:val="0"/>
      <w:marRight w:val="0"/>
      <w:marTop w:val="0"/>
      <w:marBottom w:val="0"/>
      <w:divBdr>
        <w:top w:val="none" w:sz="0" w:space="0" w:color="auto"/>
        <w:left w:val="none" w:sz="0" w:space="0" w:color="auto"/>
        <w:bottom w:val="none" w:sz="0" w:space="0" w:color="auto"/>
        <w:right w:val="none" w:sz="0" w:space="0" w:color="auto"/>
      </w:divBdr>
      <w:divsChild>
        <w:div w:id="1708334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3643">
      <w:bodyDiv w:val="1"/>
      <w:marLeft w:val="0"/>
      <w:marRight w:val="0"/>
      <w:marTop w:val="0"/>
      <w:marBottom w:val="0"/>
      <w:divBdr>
        <w:top w:val="none" w:sz="0" w:space="0" w:color="auto"/>
        <w:left w:val="none" w:sz="0" w:space="0" w:color="auto"/>
        <w:bottom w:val="none" w:sz="0" w:space="0" w:color="auto"/>
        <w:right w:val="none" w:sz="0" w:space="0" w:color="auto"/>
      </w:divBdr>
    </w:div>
    <w:div w:id="1343623687">
      <w:bodyDiv w:val="1"/>
      <w:marLeft w:val="0"/>
      <w:marRight w:val="0"/>
      <w:marTop w:val="0"/>
      <w:marBottom w:val="0"/>
      <w:divBdr>
        <w:top w:val="none" w:sz="0" w:space="0" w:color="auto"/>
        <w:left w:val="none" w:sz="0" w:space="0" w:color="auto"/>
        <w:bottom w:val="none" w:sz="0" w:space="0" w:color="auto"/>
        <w:right w:val="none" w:sz="0" w:space="0" w:color="auto"/>
      </w:divBdr>
      <w:divsChild>
        <w:div w:id="800422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119854">
      <w:bodyDiv w:val="1"/>
      <w:marLeft w:val="0"/>
      <w:marRight w:val="0"/>
      <w:marTop w:val="0"/>
      <w:marBottom w:val="0"/>
      <w:divBdr>
        <w:top w:val="none" w:sz="0" w:space="0" w:color="auto"/>
        <w:left w:val="none" w:sz="0" w:space="0" w:color="auto"/>
        <w:bottom w:val="none" w:sz="0" w:space="0" w:color="auto"/>
        <w:right w:val="none" w:sz="0" w:space="0" w:color="auto"/>
      </w:divBdr>
    </w:div>
    <w:div w:id="1428192591">
      <w:bodyDiv w:val="1"/>
      <w:marLeft w:val="0"/>
      <w:marRight w:val="0"/>
      <w:marTop w:val="0"/>
      <w:marBottom w:val="0"/>
      <w:divBdr>
        <w:top w:val="none" w:sz="0" w:space="0" w:color="auto"/>
        <w:left w:val="none" w:sz="0" w:space="0" w:color="auto"/>
        <w:bottom w:val="none" w:sz="0" w:space="0" w:color="auto"/>
        <w:right w:val="none" w:sz="0" w:space="0" w:color="auto"/>
      </w:divBdr>
    </w:div>
    <w:div w:id="1528064747">
      <w:bodyDiv w:val="1"/>
      <w:marLeft w:val="0"/>
      <w:marRight w:val="0"/>
      <w:marTop w:val="0"/>
      <w:marBottom w:val="0"/>
      <w:divBdr>
        <w:top w:val="none" w:sz="0" w:space="0" w:color="auto"/>
        <w:left w:val="none" w:sz="0" w:space="0" w:color="auto"/>
        <w:bottom w:val="none" w:sz="0" w:space="0" w:color="auto"/>
        <w:right w:val="none" w:sz="0" w:space="0" w:color="auto"/>
      </w:divBdr>
    </w:div>
    <w:div w:id="1540626878">
      <w:bodyDiv w:val="1"/>
      <w:marLeft w:val="0"/>
      <w:marRight w:val="0"/>
      <w:marTop w:val="0"/>
      <w:marBottom w:val="0"/>
      <w:divBdr>
        <w:top w:val="none" w:sz="0" w:space="0" w:color="auto"/>
        <w:left w:val="none" w:sz="0" w:space="0" w:color="auto"/>
        <w:bottom w:val="none" w:sz="0" w:space="0" w:color="auto"/>
        <w:right w:val="none" w:sz="0" w:space="0" w:color="auto"/>
      </w:divBdr>
      <w:divsChild>
        <w:div w:id="203248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9628793">
      <w:bodyDiv w:val="1"/>
      <w:marLeft w:val="0"/>
      <w:marRight w:val="0"/>
      <w:marTop w:val="0"/>
      <w:marBottom w:val="0"/>
      <w:divBdr>
        <w:top w:val="none" w:sz="0" w:space="0" w:color="auto"/>
        <w:left w:val="none" w:sz="0" w:space="0" w:color="auto"/>
        <w:bottom w:val="none" w:sz="0" w:space="0" w:color="auto"/>
        <w:right w:val="none" w:sz="0" w:space="0" w:color="auto"/>
      </w:divBdr>
      <w:divsChild>
        <w:div w:id="1657101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656422">
      <w:bodyDiv w:val="1"/>
      <w:marLeft w:val="0"/>
      <w:marRight w:val="0"/>
      <w:marTop w:val="0"/>
      <w:marBottom w:val="0"/>
      <w:divBdr>
        <w:top w:val="none" w:sz="0" w:space="0" w:color="auto"/>
        <w:left w:val="none" w:sz="0" w:space="0" w:color="auto"/>
        <w:bottom w:val="none" w:sz="0" w:space="0" w:color="auto"/>
        <w:right w:val="none" w:sz="0" w:space="0" w:color="auto"/>
      </w:divBdr>
    </w:div>
    <w:div w:id="1652639672">
      <w:bodyDiv w:val="1"/>
      <w:marLeft w:val="0"/>
      <w:marRight w:val="0"/>
      <w:marTop w:val="0"/>
      <w:marBottom w:val="0"/>
      <w:divBdr>
        <w:top w:val="none" w:sz="0" w:space="0" w:color="auto"/>
        <w:left w:val="none" w:sz="0" w:space="0" w:color="auto"/>
        <w:bottom w:val="none" w:sz="0" w:space="0" w:color="auto"/>
        <w:right w:val="none" w:sz="0" w:space="0" w:color="auto"/>
      </w:divBdr>
    </w:div>
    <w:div w:id="1738017508">
      <w:bodyDiv w:val="1"/>
      <w:marLeft w:val="0"/>
      <w:marRight w:val="0"/>
      <w:marTop w:val="0"/>
      <w:marBottom w:val="0"/>
      <w:divBdr>
        <w:top w:val="none" w:sz="0" w:space="0" w:color="auto"/>
        <w:left w:val="none" w:sz="0" w:space="0" w:color="auto"/>
        <w:bottom w:val="none" w:sz="0" w:space="0" w:color="auto"/>
        <w:right w:val="none" w:sz="0" w:space="0" w:color="auto"/>
      </w:divBdr>
    </w:div>
    <w:div w:id="1767575044">
      <w:bodyDiv w:val="1"/>
      <w:marLeft w:val="0"/>
      <w:marRight w:val="0"/>
      <w:marTop w:val="0"/>
      <w:marBottom w:val="0"/>
      <w:divBdr>
        <w:top w:val="none" w:sz="0" w:space="0" w:color="auto"/>
        <w:left w:val="none" w:sz="0" w:space="0" w:color="auto"/>
        <w:bottom w:val="none" w:sz="0" w:space="0" w:color="auto"/>
        <w:right w:val="none" w:sz="0" w:space="0" w:color="auto"/>
      </w:divBdr>
    </w:div>
    <w:div w:id="1776053756">
      <w:bodyDiv w:val="1"/>
      <w:marLeft w:val="0"/>
      <w:marRight w:val="0"/>
      <w:marTop w:val="0"/>
      <w:marBottom w:val="0"/>
      <w:divBdr>
        <w:top w:val="none" w:sz="0" w:space="0" w:color="auto"/>
        <w:left w:val="none" w:sz="0" w:space="0" w:color="auto"/>
        <w:bottom w:val="none" w:sz="0" w:space="0" w:color="auto"/>
        <w:right w:val="none" w:sz="0" w:space="0" w:color="auto"/>
      </w:divBdr>
      <w:divsChild>
        <w:div w:id="2016758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1146898">
      <w:bodyDiv w:val="1"/>
      <w:marLeft w:val="0"/>
      <w:marRight w:val="0"/>
      <w:marTop w:val="0"/>
      <w:marBottom w:val="0"/>
      <w:divBdr>
        <w:top w:val="none" w:sz="0" w:space="0" w:color="auto"/>
        <w:left w:val="none" w:sz="0" w:space="0" w:color="auto"/>
        <w:bottom w:val="none" w:sz="0" w:space="0" w:color="auto"/>
        <w:right w:val="none" w:sz="0" w:space="0" w:color="auto"/>
      </w:divBdr>
    </w:div>
    <w:div w:id="2001037272">
      <w:bodyDiv w:val="1"/>
      <w:marLeft w:val="0"/>
      <w:marRight w:val="0"/>
      <w:marTop w:val="0"/>
      <w:marBottom w:val="0"/>
      <w:divBdr>
        <w:top w:val="none" w:sz="0" w:space="0" w:color="auto"/>
        <w:left w:val="none" w:sz="0" w:space="0" w:color="auto"/>
        <w:bottom w:val="none" w:sz="0" w:space="0" w:color="auto"/>
        <w:right w:val="none" w:sz="0" w:space="0" w:color="auto"/>
      </w:divBdr>
      <w:divsChild>
        <w:div w:id="1157917346">
          <w:marLeft w:val="0"/>
          <w:marRight w:val="0"/>
          <w:marTop w:val="0"/>
          <w:marBottom w:val="0"/>
          <w:divBdr>
            <w:top w:val="single" w:sz="2" w:space="0" w:color="E5E7EB"/>
            <w:left w:val="single" w:sz="2" w:space="0" w:color="E5E7EB"/>
            <w:bottom w:val="single" w:sz="2" w:space="0" w:color="E5E7EB"/>
            <w:right w:val="single" w:sz="2" w:space="0" w:color="E5E7EB"/>
          </w:divBdr>
          <w:divsChild>
            <w:div w:id="551773510">
              <w:marLeft w:val="0"/>
              <w:marRight w:val="0"/>
              <w:marTop w:val="0"/>
              <w:marBottom w:val="0"/>
              <w:divBdr>
                <w:top w:val="single" w:sz="2" w:space="0" w:color="E5E7EB"/>
                <w:left w:val="single" w:sz="2" w:space="0" w:color="E5E7EB"/>
                <w:bottom w:val="single" w:sz="2" w:space="0" w:color="E5E7EB"/>
                <w:right w:val="single" w:sz="2" w:space="0" w:color="E5E7EB"/>
              </w:divBdr>
              <w:divsChild>
                <w:div w:id="1318652613">
                  <w:marLeft w:val="0"/>
                  <w:marRight w:val="0"/>
                  <w:marTop w:val="0"/>
                  <w:marBottom w:val="0"/>
                  <w:divBdr>
                    <w:top w:val="single" w:sz="2" w:space="0" w:color="E5E7EB"/>
                    <w:left w:val="single" w:sz="2" w:space="0" w:color="E5E7EB"/>
                    <w:bottom w:val="single" w:sz="2" w:space="0" w:color="E5E7EB"/>
                    <w:right w:val="single" w:sz="2" w:space="0" w:color="E5E7EB"/>
                  </w:divBdr>
                  <w:divsChild>
                    <w:div w:id="1314721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90611333">
      <w:bodyDiv w:val="1"/>
      <w:marLeft w:val="0"/>
      <w:marRight w:val="0"/>
      <w:marTop w:val="0"/>
      <w:marBottom w:val="0"/>
      <w:divBdr>
        <w:top w:val="none" w:sz="0" w:space="0" w:color="auto"/>
        <w:left w:val="none" w:sz="0" w:space="0" w:color="auto"/>
        <w:bottom w:val="none" w:sz="0" w:space="0" w:color="auto"/>
        <w:right w:val="none" w:sz="0" w:space="0" w:color="auto"/>
      </w:divBdr>
    </w:div>
    <w:div w:id="2091268620">
      <w:bodyDiv w:val="1"/>
      <w:marLeft w:val="0"/>
      <w:marRight w:val="0"/>
      <w:marTop w:val="0"/>
      <w:marBottom w:val="0"/>
      <w:divBdr>
        <w:top w:val="none" w:sz="0" w:space="0" w:color="auto"/>
        <w:left w:val="none" w:sz="0" w:space="0" w:color="auto"/>
        <w:bottom w:val="none" w:sz="0" w:space="0" w:color="auto"/>
        <w:right w:val="none" w:sz="0" w:space="0" w:color="auto"/>
      </w:divBdr>
      <w:divsChild>
        <w:div w:id="666789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461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disabilityrightsuk.org/news/90-pip-standard-daily-living-component-recipients-would-fail-new-green-paper-test?srsltid=AfmBOoqmQ3P5dOjAdDj05zMv_n8Mk8gUnJEKYnjJ0WwmJYitA_QZF_cd" TargetMode="External"/><Relationship Id="rId40" Type="http://schemas.openxmlformats.org/officeDocument/2006/relationships/footer" Target="footer2.xml"/><Relationship Id="rId45"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gov.uk/government/statistics/households-below-average-income-for-financial-years-ending-1995-to-2020/household-below-average-income-series-quality-and-methodology-information-report-fye-2020" TargetMode="Externa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ofgem.gov.uk/standing-charge-electricity-and-gas"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documenttasks/documenttasks1.xml><?xml version="1.0" encoding="utf-8"?>
<t:Tasks xmlns:t="http://schemas.microsoft.com/office/tasks/2019/documenttasks" xmlns:oel="http://schemas.microsoft.com/office/2019/extlst">
  <t:Task id="{7737A931-3DE4-46E2-93AE-B2C84491FFD4}">
    <t:Anchor>
      <t:Comment id="1605743386"/>
    </t:Anchor>
    <t:History>
      <t:Event id="{48E4007C-13B1-409F-82E2-8A859338E96F}" time="2025-08-07T16:36:11.964Z">
        <t:Attribution userId="S::amy.norman@publicfirst.co.uk::34fa8d7f-63aa-4dc1-abce-51ee61f60dc2" userProvider="AD" userName="Amy Norman"/>
        <t:Anchor>
          <t:Comment id="1605743386"/>
        </t:Anchor>
        <t:Create/>
      </t:Event>
      <t:Event id="{C7B5FF09-8987-4D10-94AC-37449CDA4076}" time="2025-08-07T16:36:11.964Z">
        <t:Attribution userId="S::amy.norman@publicfirst.co.uk::34fa8d7f-63aa-4dc1-abce-51ee61f60dc2" userProvider="AD" userName="Amy Norman"/>
        <t:Anchor>
          <t:Comment id="1605743386"/>
        </t:Anchor>
        <t:Assign userId="S::amy.norman@publicfirst.co.uk::34fa8d7f-63aa-4dc1-abce-51ee61f60dc2" userProvider="AD" userName="Amy Norman"/>
      </t:Event>
      <t:Event id="{54B75D7C-681B-4F38-8407-2C6265B5B107}" time="2025-08-07T16:36:11.964Z">
        <t:Attribution userId="S::amy.norman@publicfirst.co.uk::34fa8d7f-63aa-4dc1-abce-51ee61f60dc2" userProvider="AD" userName="Amy Norman"/>
        <t:Anchor>
          <t:Comment id="1605743386"/>
        </t:Anchor>
        <t:SetTitle title="@Amy Norman"/>
      </t:Event>
    </t:History>
  </t:Task>
  <t:Task id="{BCD4FBAE-0C87-437F-931B-55289573DED6}">
    <t:Anchor>
      <t:Comment id="1112193140"/>
    </t:Anchor>
    <t:History>
      <t:Event id="{6549A6A0-976F-4E2C-B61B-E4A3B9507638}" time="2025-07-30T17:57:10.74Z">
        <t:Attribution userId="S::amy.norman@publicfirst.co.uk::34fa8d7f-63aa-4dc1-abce-51ee61f60dc2" userProvider="AD" userName="Amy Norman"/>
        <t:Anchor>
          <t:Comment id="1112193140"/>
        </t:Anchor>
        <t:Create/>
      </t:Event>
      <t:Event id="{9C55B21B-BA46-4728-8B1A-3AF2E29C7870}" time="2025-07-30T17:57:10.74Z">
        <t:Attribution userId="S::amy.norman@publicfirst.co.uk::34fa8d7f-63aa-4dc1-abce-51ee61f60dc2" userProvider="AD" userName="Amy Norman"/>
        <t:Anchor>
          <t:Comment id="1112193140"/>
        </t:Anchor>
        <t:Assign userId="S::Jordan.southwell@publicfirst.co.uk::5f8a78d4-3007-46ce-b1a6-1a1e8c6976f7" userProvider="AD" userName="Jordan Southwell"/>
      </t:Event>
      <t:Event id="{B93AC0E3-1E81-47E8-8888-37F3FC6C2861}" time="2025-07-30T17:57:10.74Z">
        <t:Attribution userId="S::amy.norman@publicfirst.co.uk::34fa8d7f-63aa-4dc1-abce-51ee61f60dc2" userProvider="AD" userName="Amy Norman"/>
        <t:Anchor>
          <t:Comment id="1112193140"/>
        </t:Anchor>
        <t:SetTitle title="@Jordan Southwell I think we need to somehow work out the actual number of households for these please."/>
      </t:Event>
    </t:History>
  </t:Task>
  <t:Task id="{D27E7311-AE8B-44D5-86F4-9C3E1EA1014B}">
    <t:Anchor>
      <t:Comment id="1164190926"/>
    </t:Anchor>
    <t:History>
      <t:Event id="{2AB28DF6-3B47-446E-872D-F83F60E027BC}" time="2025-07-30T13:01:33.046Z">
        <t:Attribution userId="S::amy.norman@publicfirst.co.uk::34fa8d7f-63aa-4dc1-abce-51ee61f60dc2" userProvider="AD" userName="Amy Norman"/>
        <t:Anchor>
          <t:Comment id="1164190926"/>
        </t:Anchor>
        <t:Create/>
      </t:Event>
      <t:Event id="{426F01E8-AF2B-47BB-8511-BB366897B981}" time="2025-07-30T13:01:33.046Z">
        <t:Attribution userId="S::amy.norman@publicfirst.co.uk::34fa8d7f-63aa-4dc1-abce-51ee61f60dc2" userProvider="AD" userName="Amy Norman"/>
        <t:Anchor>
          <t:Comment id="1164190926"/>
        </t:Anchor>
        <t:Assign userId="S::Jordan.southwell@publicfirst.co.uk::5f8a78d4-3007-46ce-b1a6-1a1e8c6976f7" userProvider="AD" userName="Jordan Southwell"/>
      </t:Event>
      <t:Event id="{B2093516-CF38-4577-93C1-5B7416110556}" time="2025-07-30T13:01:33.046Z">
        <t:Attribution userId="S::amy.norman@publicfirst.co.uk::34fa8d7f-63aa-4dc1-abce-51ee61f60dc2" userProvider="AD" userName="Amy Norman"/>
        <t:Anchor>
          <t:Comment id="1164190926"/>
        </t:Anchor>
        <t:SetTitle title="then this one can be deleted after @Jordan Southwell"/>
      </t:Event>
    </t:History>
  </t:Task>
  <t:Task id="{1CEEF6BC-ECD8-4375-9214-E608915C5196}">
    <t:Anchor>
      <t:Comment id="193620293"/>
    </t:Anchor>
    <t:History>
      <t:Event id="{89E63DFF-0423-4077-AAE1-FD9B6DB27B82}" time="2025-07-30T12:48:08.424Z">
        <t:Attribution userId="S::amy.norman@publicfirst.co.uk::34fa8d7f-63aa-4dc1-abce-51ee61f60dc2" userProvider="AD" userName="Amy Norman"/>
        <t:Anchor>
          <t:Comment id="410198769"/>
        </t:Anchor>
        <t:Create/>
      </t:Event>
      <t:Event id="{EACF32C2-0FCE-4C1F-9F1E-30D967DE18CA}" time="2025-07-30T12:48:08.424Z">
        <t:Attribution userId="S::amy.norman@publicfirst.co.uk::34fa8d7f-63aa-4dc1-abce-51ee61f60dc2" userProvider="AD" userName="Amy Norman"/>
        <t:Anchor>
          <t:Comment id="410198769"/>
        </t:Anchor>
        <t:Assign userId="S::Jordan.southwell@publicfirst.co.uk::5f8a78d4-3007-46ce-b1a6-1a1e8c6976f7" userProvider="AD" userName="Jordan Southwell"/>
      </t:Event>
      <t:Event id="{E1525E55-1083-47A6-B8E6-25C542D66B05}" time="2025-07-30T12:48:08.424Z">
        <t:Attribution userId="S::amy.norman@publicfirst.co.uk::34fa8d7f-63aa-4dc1-abce-51ee61f60dc2" userProvider="AD" userName="Amy Norman"/>
        <t:Anchor>
          <t:Comment id="410198769"/>
        </t:Anchor>
        <t:SetTitle title="@Jordan Southwell - please can you make the chart I Slacked about"/>
      </t:Event>
    </t:History>
  </t:Task>
  <t:Task id="{B0917383-5669-4529-9E3D-1803505F092E}">
    <t:Anchor>
      <t:Comment id="1726623032"/>
    </t:Anchor>
    <t:History>
      <t:Event id="{660B726E-88F5-4DF3-9ED7-1053BA425ABA}" time="2025-07-30T14:19:02.102Z">
        <t:Attribution userId="S::amy.norman@publicfirst.co.uk::34fa8d7f-63aa-4dc1-abce-51ee61f60dc2" userProvider="AD" userName="Amy Norman"/>
        <t:Anchor>
          <t:Comment id="1726623032"/>
        </t:Anchor>
        <t:Create/>
      </t:Event>
      <t:Event id="{3D77B337-FC3E-48BC-872D-66243EB03FD3}" time="2025-07-30T14:19:02.102Z">
        <t:Attribution userId="S::amy.norman@publicfirst.co.uk::34fa8d7f-63aa-4dc1-abce-51ee61f60dc2" userProvider="AD" userName="Amy Norman"/>
        <t:Anchor>
          <t:Comment id="1726623032"/>
        </t:Anchor>
        <t:Assign userId="S::Jordan.southwell@publicfirst.co.uk::5f8a78d4-3007-46ce-b1a6-1a1e8c6976f7" userProvider="AD" userName="Jordan Southwell"/>
      </t:Event>
      <t:Event id="{4E1B44B7-A0F9-4B00-B0FC-692F8640B44E}" time="2025-07-30T14:19:02.102Z">
        <t:Attribution userId="S::amy.norman@publicfirst.co.uk::34fa8d7f-63aa-4dc1-abce-51ee61f60dc2" userProvider="AD" userName="Amy Norman"/>
        <t:Anchor>
          <t:Comment id="1726623032"/>
        </t:Anchor>
        <t:SetTitle title="please add a title in the style of other chaets @Jordan Southwell"/>
      </t:Event>
    </t:History>
  </t:Task>
  <t:Task id="{73C274DD-304E-44C6-A6CB-B49F4FDD4727}">
    <t:Anchor>
      <t:Comment id="4046330"/>
    </t:Anchor>
    <t:History>
      <t:Event id="{B07ECFD1-8561-484D-8AF6-1251E31EA60D}" time="2025-07-30T12:53:55.853Z">
        <t:Attribution userId="S::amy.norman@publicfirst.co.uk::34fa8d7f-63aa-4dc1-abce-51ee61f60dc2" userProvider="AD" userName="Amy Norman"/>
        <t:Anchor>
          <t:Comment id="4046330"/>
        </t:Anchor>
        <t:Create/>
      </t:Event>
      <t:Event id="{05DC77BB-EC8B-4F1E-B7F6-10346EBE6A56}" time="2025-07-30T12:53:55.853Z">
        <t:Attribution userId="S::amy.norman@publicfirst.co.uk::34fa8d7f-63aa-4dc1-abce-51ee61f60dc2" userProvider="AD" userName="Amy Norman"/>
        <t:Anchor>
          <t:Comment id="4046330"/>
        </t:Anchor>
        <t:Assign userId="S::Jordan.southwell@publicfirst.co.uk::5f8a78d4-3007-46ce-b1a6-1a1e8c6976f7" userProvider="AD" userName="Jordan Southwell"/>
      </t:Event>
      <t:Event id="{DB358A50-9F02-48C0-AE34-A1147B9608D8}" time="2025-07-30T12:53:55.853Z">
        <t:Attribution userId="S::amy.norman@publicfirst.co.uk::34fa8d7f-63aa-4dc1-abce-51ee61f60dc2" userProvider="AD" userName="Amy Norman"/>
        <t:Anchor>
          <t:Comment id="4046330"/>
        </t:Anchor>
        <t:SetTitle title="to change labels for &quot;equalities act disabled&quot; @Jordan Southwell"/>
      </t:Event>
    </t:History>
  </t:Task>
  <t:Task id="{9151B2FC-DB4A-435E-9AFC-D4E09BE4DEC6}">
    <t:Anchor>
      <t:Comment id="685237275"/>
    </t:Anchor>
    <t:History>
      <t:Event id="{DA938A61-3865-4261-8026-C91048A58E7D}" time="2025-07-30T12:53:18.801Z">
        <t:Attribution userId="S::amy.norman@publicfirst.co.uk::34fa8d7f-63aa-4dc1-abce-51ee61f60dc2" userProvider="AD" userName="Amy Norman"/>
        <t:Anchor>
          <t:Comment id="685237275"/>
        </t:Anchor>
        <t:Create/>
      </t:Event>
      <t:Event id="{66BE13F1-C4DA-4D92-906A-A499C6DB352C}" time="2025-07-30T12:53:18.801Z">
        <t:Attribution userId="S::amy.norman@publicfirst.co.uk::34fa8d7f-63aa-4dc1-abce-51ee61f60dc2" userProvider="AD" userName="Amy Norman"/>
        <t:Anchor>
          <t:Comment id="685237275"/>
        </t:Anchor>
        <t:Assign userId="S::Jordan.southwell@publicfirst.co.uk::5f8a78d4-3007-46ce-b1a6-1a1e8c6976f7" userProvider="AD" userName="Jordan Southwell"/>
      </t:Event>
      <t:Event id="{EF132A32-73B2-4F6F-AA8C-5D243926F01C}" time="2025-07-30T12:53:18.801Z">
        <t:Attribution userId="S::amy.norman@publicfirst.co.uk::34fa8d7f-63aa-4dc1-abce-51ee61f60dc2" userProvider="AD" userName="Amy Norman"/>
        <t:Anchor>
          <t:Comment id="685237275"/>
        </t:Anchor>
        <t:SetTitle title=" to change labels for &quot;equalities act disabled&quot; @Jordan Southwell"/>
      </t:Event>
      <t:Event id="{19AC70F9-82BD-4F2B-8B29-D17E5F123FF6}" time="2025-07-30T12:53:27.541Z">
        <t:Attribution userId="S::amy.norman@publicfirst.co.uk::34fa8d7f-63aa-4dc1-abce-51ee61f60dc2" userProvider="AD" userName="Amy Norman"/>
        <t:Progress percentComplete="100"/>
      </t:Event>
    </t:History>
  </t:Task>
  <t:Task id="{C3609D00-F1EA-4E26-9A9F-62902456D06E}">
    <t:Anchor>
      <t:Comment id="1439287738"/>
    </t:Anchor>
    <t:History>
      <t:Event id="{0AFB9664-3CCE-422B-A9BD-EEDDB091EC98}" time="2025-07-30T13:01:06.464Z">
        <t:Attribution userId="S::amy.norman@publicfirst.co.uk::34fa8d7f-63aa-4dc1-abce-51ee61f60dc2" userProvider="AD" userName="Amy Norman"/>
        <t:Anchor>
          <t:Comment id="1439287738"/>
        </t:Anchor>
        <t:Create/>
      </t:Event>
      <t:Event id="{3196CD15-01FC-44D4-8039-9EC4D99342EB}" time="2025-07-30T13:01:06.464Z">
        <t:Attribution userId="S::amy.norman@publicfirst.co.uk::34fa8d7f-63aa-4dc1-abce-51ee61f60dc2" userProvider="AD" userName="Amy Norman"/>
        <t:Anchor>
          <t:Comment id="1439287738"/>
        </t:Anchor>
        <t:Assign userId="S::Jordan.southwell@publicfirst.co.uk::5f8a78d4-3007-46ce-b1a6-1a1e8c6976f7" userProvider="AD" userName="Jordan Southwell"/>
      </t:Event>
      <t:Event id="{6FF3F9EE-0552-4FF7-A5B9-47137CEB3F49}" time="2025-07-30T13:01:06.464Z">
        <t:Attribution userId="S::amy.norman@publicfirst.co.uk::34fa8d7f-63aa-4dc1-abce-51ee61f60dc2" userProvider="AD" userName="Amy Norman"/>
        <t:Anchor>
          <t:Comment id="1439287738"/>
        </t:Anchor>
        <t:SetTitle title="Please can you update the font size etc and change the equalities act disabled part @Jordan Southwell"/>
      </t:Event>
    </t:History>
  </t:Task>
  <t:Task id="{E511EB96-18FF-4F8F-8D6E-21BA1640B48A}">
    <t:Anchor>
      <t:Comment id="702189534"/>
    </t:Anchor>
    <t:History>
      <t:Event id="{9FFA367B-2683-4DB1-BE71-43834D37B9C2}" time="2025-07-31T09:58:55.471Z">
        <t:Attribution userId="S::amy.norman@publicfirst.co.uk::34fa8d7f-63aa-4dc1-abce-51ee61f60dc2" userProvider="AD" userName="Amy Norman"/>
        <t:Anchor>
          <t:Comment id="702189534"/>
        </t:Anchor>
        <t:Create/>
      </t:Event>
      <t:Event id="{EFF35F67-D522-4D4E-9418-0FBABEEBB170}" time="2025-07-31T09:58:55.471Z">
        <t:Attribution userId="S::amy.norman@publicfirst.co.uk::34fa8d7f-63aa-4dc1-abce-51ee61f60dc2" userProvider="AD" userName="Amy Norman"/>
        <t:Anchor>
          <t:Comment id="702189534"/>
        </t:Anchor>
        <t:Assign userId="S::Jordan.southwell@publicfirst.co.uk::5f8a78d4-3007-46ce-b1a6-1a1e8c6976f7" userProvider="AD" userName="Jordan Southwell"/>
      </t:Event>
      <t:Event id="{04953FAD-A9D4-46FF-9AAE-86F6267D4AA6}" time="2025-07-31T09:58:55.471Z">
        <t:Attribution userId="S::amy.norman@publicfirst.co.uk::34fa8d7f-63aa-4dc1-abce-51ee61f60dc2" userProvider="AD" userName="Amy Norman"/>
        <t:Anchor>
          <t:Comment id="702189534"/>
        </t:Anchor>
        <t:SetTitle title="@Jordan Southwell we need a short section here on the benefits/impact of WHD to date. Steering group think we slag it off too much otherwise. Please can you dig out about half a page on it and potentially include a chart if it's worth it."/>
      </t:Event>
    </t:History>
  </t:Task>
  <t:Task id="{DD9FC903-D520-4A2C-A117-A361247DAD57}">
    <t:Anchor>
      <t:Comment id="2117576933"/>
    </t:Anchor>
    <t:History>
      <t:Event id="{9F327724-887B-43B1-BA2D-2C1B70F99E6D}" time="2025-07-31T13:07:26.661Z">
        <t:Attribution userId="S::amy.norman@publicfirst.co.uk::34fa8d7f-63aa-4dc1-abce-51ee61f60dc2" userProvider="AD" userName="Amy Norman"/>
        <t:Anchor>
          <t:Comment id="186845185"/>
        </t:Anchor>
        <t:Create/>
      </t:Event>
      <t:Event id="{ED801111-C567-40A2-8D22-BD7378DE06A8}" time="2025-07-31T13:07:26.661Z">
        <t:Attribution userId="S::amy.norman@publicfirst.co.uk::34fa8d7f-63aa-4dc1-abce-51ee61f60dc2" userProvider="AD" userName="Amy Norman"/>
        <t:Anchor>
          <t:Comment id="186845185"/>
        </t:Anchor>
        <t:Assign userId="S::ines.wittke@publicfirst.co.uk::1702eb5f-c7e0-4e02-b912-8a40a40fb73f" userProvider="AD" userName="Ines Wittke"/>
      </t:Event>
      <t:Event id="{D9CC1C0E-E015-4A33-8177-2C964DDD554D}" time="2025-07-31T13:07:26.661Z">
        <t:Attribution userId="S::amy.norman@publicfirst.co.uk::34fa8d7f-63aa-4dc1-abce-51ee61f60dc2" userProvider="AD" userName="Amy Norman"/>
        <t:Anchor>
          <t:Comment id="186845185"/>
        </t:Anchor>
        <t:SetTitle title="@Ines Wittke"/>
      </t:Event>
    </t:History>
  </t:Task>
  <t:Task id="{D8B938CF-A3A1-4A96-BDDC-84CE983B3CAF}">
    <t:Anchor>
      <t:Comment id="403373007"/>
    </t:Anchor>
    <t:History>
      <t:Event id="{BAEF56D7-8571-4B2C-B7BB-5893B5406851}" time="2025-07-31T14:56:51.119Z">
        <t:Attribution userId="S::amy.norman@publicfirst.co.uk::34fa8d7f-63aa-4dc1-abce-51ee61f60dc2" userProvider="AD" userName="Amy Norman"/>
        <t:Anchor>
          <t:Comment id="283222266"/>
        </t:Anchor>
        <t:Create/>
      </t:Event>
      <t:Event id="{A6600F74-E493-47EC-8BC8-ABF1F15980F5}" time="2025-07-31T14:56:51.119Z">
        <t:Attribution userId="S::amy.norman@publicfirst.co.uk::34fa8d7f-63aa-4dc1-abce-51ee61f60dc2" userProvider="AD" userName="Amy Norman"/>
        <t:Anchor>
          <t:Comment id="283222266"/>
        </t:Anchor>
        <t:Assign userId="S::Jordan.southwell@publicfirst.co.uk::5f8a78d4-3007-46ce-b1a6-1a1e8c6976f7" userProvider="AD" userName="Jordan Southwell"/>
      </t:Event>
      <t:Event id="{3BB5D96D-459D-4809-BE28-06C64A76ECC2}" time="2025-07-31T14:56:51.119Z">
        <t:Attribution userId="S::amy.norman@publicfirst.co.uk::34fa8d7f-63aa-4dc1-abce-51ee61f60dc2" userProvider="AD" userName="Amy Norman"/>
        <t:Anchor>
          <t:Comment id="283222266"/>
        </t:Anchor>
        <t:SetTitle title="@Jordan Southwell"/>
      </t:Event>
    </t:History>
  </t:Task>
  <t:Task id="{8E586AA3-FC18-46CA-B5E4-F258D3CBE6FF}">
    <t:Anchor>
      <t:Comment id="1759283267"/>
    </t:Anchor>
    <t:History>
      <t:Event id="{452F0B71-6378-4680-BEA4-15153C984E6D}" time="2025-07-31T16:06:15.748Z">
        <t:Attribution userId="S::amy.norman@publicfirst.co.uk::34fa8d7f-63aa-4dc1-abce-51ee61f60dc2" userProvider="AD" userName="Amy Norman"/>
        <t:Anchor>
          <t:Comment id="211535936"/>
        </t:Anchor>
        <t:Create/>
      </t:Event>
      <t:Event id="{01605483-3B8A-4E80-A357-180EF81DF2DE}" time="2025-07-31T16:06:15.748Z">
        <t:Attribution userId="S::amy.norman@publicfirst.co.uk::34fa8d7f-63aa-4dc1-abce-51ee61f60dc2" userProvider="AD" userName="Amy Norman"/>
        <t:Anchor>
          <t:Comment id="211535936"/>
        </t:Anchor>
        <t:Assign userId="S::Jordan.southwell@publicfirst.co.uk::5f8a78d4-3007-46ce-b1a6-1a1e8c6976f7" userProvider="AD" userName="Jordan Southwell"/>
      </t:Event>
      <t:Event id="{74339ED9-5528-43A3-AB76-64BEF76E66D7}" time="2025-07-31T16:06:15.748Z">
        <t:Attribution userId="S::amy.norman@publicfirst.co.uk::34fa8d7f-63aa-4dc1-abce-51ee61f60dc2" userProvider="AD" userName="Amy Norman"/>
        <t:Anchor>
          <t:Comment id="211535936"/>
        </t:Anchor>
        <t:SetTitle title="@Jordan Southwell could you do this please based on the bullet pointed text above. Don't necessarily need to go into the different standing charge ones"/>
      </t:Event>
    </t:History>
  </t:Task>
  <t:Task id="{A1EA5CAB-B125-4BC4-84E9-703F9DF9DD2E}">
    <t:Anchor>
      <t:Comment id="1178336241"/>
    </t:Anchor>
    <t:History>
      <t:Event id="{C5D0996D-30F3-4C9A-BA98-D41E51DB551A}" time="2025-07-31T16:24:31.825Z">
        <t:Attribution userId="S::amy.norman@publicfirst.co.uk::34fa8d7f-63aa-4dc1-abce-51ee61f60dc2" userProvider="AD" userName="Amy Norman"/>
        <t:Anchor>
          <t:Comment id="1178336241"/>
        </t:Anchor>
        <t:Create/>
      </t:Event>
      <t:Event id="{5F6C3291-CC79-4FA0-B2C1-2DC91CE70343}" time="2025-07-31T16:24:31.825Z">
        <t:Attribution userId="S::amy.norman@publicfirst.co.uk::34fa8d7f-63aa-4dc1-abce-51ee61f60dc2" userProvider="AD" userName="Amy Norman"/>
        <t:Anchor>
          <t:Comment id="1178336241"/>
        </t:Anchor>
        <t:Assign userId="S::Jordan.southwell@publicfirst.co.uk::5f8a78d4-3007-46ce-b1a6-1a1e8c6976f7" userProvider="AD" userName="Jordan Southwell"/>
      </t:Event>
      <t:Event id="{8D15917E-CBFE-4C54-A5E5-3C6A6017935A}" time="2025-07-31T16:24:31.825Z">
        <t:Attribution userId="S::amy.norman@publicfirst.co.uk::34fa8d7f-63aa-4dc1-abce-51ee61f60dc2" userProvider="AD" userName="Amy Norman"/>
        <t:Anchor>
          <t:Comment id="1178336241"/>
        </t:Anchor>
        <t:SetTitle title="when? @Jordan Southwell"/>
      </t:Event>
    </t:History>
  </t:Task>
  <t:Task id="{42767595-741D-4051-A759-D906B32AEDA3}">
    <t:Anchor>
      <t:Comment id="2084447488"/>
    </t:Anchor>
    <t:History>
      <t:Event id="{468FABB7-F4C9-4CBF-A3C2-6195203D3EF8}" time="2025-07-31T16:26:58.335Z">
        <t:Attribution userId="S::amy.norman@publicfirst.co.uk::34fa8d7f-63aa-4dc1-abce-51ee61f60dc2" userProvider="AD" userName="Amy Norman"/>
        <t:Anchor>
          <t:Comment id="2084447488"/>
        </t:Anchor>
        <t:Create/>
      </t:Event>
      <t:Event id="{23BBE683-176F-4C3F-9A3E-2ABB28061322}" time="2025-07-31T16:26:58.335Z">
        <t:Attribution userId="S::amy.norman@publicfirst.co.uk::34fa8d7f-63aa-4dc1-abce-51ee61f60dc2" userProvider="AD" userName="Amy Norman"/>
        <t:Anchor>
          <t:Comment id="2084447488"/>
        </t:Anchor>
        <t:Assign userId="S::Jordan.southwell@publicfirst.co.uk::5f8a78d4-3007-46ce-b1a6-1a1e8c6976f7" userProvider="AD" userName="Jordan Southwell"/>
      </t:Event>
      <t:Event id="{33FC4006-53FE-4462-88E2-AAE858E31122}" time="2025-07-31T16:26:58.335Z">
        <t:Attribution userId="S::amy.norman@publicfirst.co.uk::34fa8d7f-63aa-4dc1-abce-51ee61f60dc2" userProvider="AD" userName="Amy Norman"/>
        <t:Anchor>
          <t:Comment id="2084447488"/>
        </t:Anchor>
        <t:SetTitle title="can you substantiate this with a reference and a figure from an impact statement or something? @Jordan Southwell"/>
      </t:Event>
    </t:History>
  </t:Task>
  <t:Task id="{13763A3F-1BEA-4F20-9F2C-E600D338ECAD}">
    <t:Anchor>
      <t:Comment id="1975380849"/>
    </t:Anchor>
    <t:History>
      <t:Event id="{5A3F56CA-D7F9-4EA3-AB0D-B38C79A22E93}" time="2025-08-01T09:13:26.755Z">
        <t:Attribution userId="S::amy.norman@publicfirst.co.uk::34fa8d7f-63aa-4dc1-abce-51ee61f60dc2" userProvider="AD" userName="Amy Norman"/>
        <t:Anchor>
          <t:Comment id="1975380849"/>
        </t:Anchor>
        <t:Create/>
      </t:Event>
      <t:Event id="{A364EA5B-6B35-4087-A801-C0E82C6E6134}" time="2025-08-01T09:13:26.755Z">
        <t:Attribution userId="S::amy.norman@publicfirst.co.uk::34fa8d7f-63aa-4dc1-abce-51ee61f60dc2" userProvider="AD" userName="Amy Norman"/>
        <t:Anchor>
          <t:Comment id="1975380849"/>
        </t:Anchor>
        <t:Assign userId="S::Jordan.southwell@publicfirst.co.uk::5f8a78d4-3007-46ce-b1a6-1a1e8c6976f7" userProvider="AD" userName="Jordan Southwell"/>
      </t:Event>
      <t:Event id="{D8B16103-6643-4EB0-8CA8-ECB0ADC5BA15}" time="2025-08-01T09:13:26.755Z">
        <t:Attribution userId="S::amy.norman@publicfirst.co.uk::34fa8d7f-63aa-4dc1-abce-51ee61f60dc2" userProvider="AD" userName="Amy Norman"/>
        <t:Anchor>
          <t:Comment id="1975380849"/>
        </t:Anchor>
        <t:SetTitle title="could you add some context here of why we didn't include it in the main chapter as discussed and what it shows pls @Jordan Southwell"/>
      </t:Event>
    </t:History>
  </t:Task>
  <t:Task id="{800235A2-767B-4CEE-B6BD-C05BB6BA6AD9}">
    <t:Anchor>
      <t:Comment id="50233880"/>
    </t:Anchor>
    <t:History>
      <t:Event id="{5C81D81B-C7ED-403B-BD51-CD0122C31182}" time="2025-08-07T12:07:23.115Z">
        <t:Attribution userId="S::amy.norman@publicfirst.co.uk::34fa8d7f-63aa-4dc1-abce-51ee61f60dc2" userProvider="AD" userName="Amy Norman"/>
        <t:Anchor>
          <t:Comment id="1031408002"/>
        </t:Anchor>
        <t:Create/>
      </t:Event>
      <t:Event id="{C06D3EA2-9C9A-4D5D-9EA8-2CC139E38B4F}" time="2025-08-07T12:07:23.115Z">
        <t:Attribution userId="S::amy.norman@publicfirst.co.uk::34fa8d7f-63aa-4dc1-abce-51ee61f60dc2" userProvider="AD" userName="Amy Norman"/>
        <t:Anchor>
          <t:Comment id="1031408002"/>
        </t:Anchor>
        <t:Assign userId="S::Jordan.southwell@publicfirst.co.uk::5f8a78d4-3007-46ce-b1a6-1a1e8c6976f7" userProvider="AD" userName="Jordan Southwell"/>
      </t:Event>
      <t:Event id="{B6FFF122-C96C-43F9-BA7A-17EF0C9547AD}" time="2025-08-07T12:07:23.115Z">
        <t:Attribution userId="S::amy.norman@publicfirst.co.uk::34fa8d7f-63aa-4dc1-abce-51ee61f60dc2" userProvider="AD" userName="Amy Norman"/>
        <t:Anchor>
          <t:Comment id="1031408002"/>
        </t:Anchor>
        <t:SetTitle title="has this been checked now? @Jordan Southwell"/>
      </t:Event>
    </t:History>
  </t:Task>
  <t:Task id="{49C57B8E-38FB-417E-9DED-47D605135BD1}">
    <t:Anchor>
      <t:Comment id="150994862"/>
    </t:Anchor>
    <t:History>
      <t:Event id="{58A8786F-1075-4C7F-A14B-76FF7F5D99D1}" time="2025-08-07T14:13:19.589Z">
        <t:Attribution userId="S::amy.norman@publicfirst.co.uk::34fa8d7f-63aa-4dc1-abce-51ee61f60dc2" userProvider="AD" userName="Amy Norman"/>
        <t:Anchor>
          <t:Comment id="300193594"/>
        </t:Anchor>
        <t:Create/>
      </t:Event>
      <t:Event id="{A56B1468-731F-4783-828C-EAE180257B5F}" time="2025-08-07T14:13:19.589Z">
        <t:Attribution userId="S::amy.norman@publicfirst.co.uk::34fa8d7f-63aa-4dc1-abce-51ee61f60dc2" userProvider="AD" userName="Amy Norman"/>
        <t:Anchor>
          <t:Comment id="300193594"/>
        </t:Anchor>
        <t:Assign userId="S::Jordan.southwell@publicfirst.co.uk::5f8a78d4-3007-46ce-b1a6-1a1e8c6976f7" userProvider="AD" userName="Jordan Southwell"/>
      </t:Event>
      <t:Event id="{1BDF005B-C2C4-4BDA-8E43-FF5A7A706A5D}" time="2025-08-07T14:13:19.589Z">
        <t:Attribution userId="S::amy.norman@publicfirst.co.uk::34fa8d7f-63aa-4dc1-abce-51ee61f60dc2" userProvider="AD" userName="Amy Norman"/>
        <t:Anchor>
          <t:Comment id="300193594"/>
        </t:Anchor>
        <t:SetTitle title="this is based on the difference between policy losers pls @Jordan Southwell"/>
      </t:Event>
    </t:History>
  </t:Task>
  <t:Task id="{85A8F888-CB96-40D4-A6D6-B2A7F3121F77}">
    <t:Anchor>
      <t:Comment id="1245481004"/>
    </t:Anchor>
    <t:History>
      <t:Event id="{AE194C31-7715-4C38-8075-DEF170A48CAE}" time="2025-08-07T14:14:06.455Z">
        <t:Attribution userId="S::amy.norman@publicfirst.co.uk::34fa8d7f-63aa-4dc1-abce-51ee61f60dc2" userProvider="AD" userName="Amy Norman"/>
        <t:Anchor>
          <t:Comment id="1487908916"/>
        </t:Anchor>
        <t:Create/>
      </t:Event>
      <t:Event id="{DA5224D5-605F-4C26-B87D-20466461A7A2}" time="2025-08-07T14:14:06.455Z">
        <t:Attribution userId="S::amy.norman@publicfirst.co.uk::34fa8d7f-63aa-4dc1-abce-51ee61f60dc2" userProvider="AD" userName="Amy Norman"/>
        <t:Anchor>
          <t:Comment id="1487908916"/>
        </t:Anchor>
        <t:Assign userId="S::Jordan.southwell@publicfirst.co.uk::5f8a78d4-3007-46ce-b1a6-1a1e8c6976f7" userProvider="AD" userName="Jordan Southwell"/>
      </t:Event>
      <t:Event id="{E45494D1-82BA-435E-8783-9DCCEAB2FFDE}" time="2025-08-07T14:14:06.455Z">
        <t:Attribution userId="S::amy.norman@publicfirst.co.uk::34fa8d7f-63aa-4dc1-abce-51ee61f60dc2" userProvider="AD" userName="Amy Norman"/>
        <t:Anchor>
          <t:Comment id="1487908916"/>
        </t:Anchor>
        <t:SetTitle title="change in bills for policy losers @Jordan Southwell"/>
      </t:Event>
    </t:History>
  </t:Task>
  <t:Task id="{2D7EE12F-AAD2-4D9B-B9C0-B063C76D7AD7}">
    <t:Anchor>
      <t:Comment id="692221976"/>
    </t:Anchor>
    <t:History>
      <t:Event id="{77734980-6860-471D-BA83-F322FA0149D2}" time="2025-08-07T16:31:37.218Z">
        <t:Attribution userId="S::amy.norman@publicfirst.co.uk::34fa8d7f-63aa-4dc1-abce-51ee61f60dc2" userProvider="AD" userName="Amy Norman"/>
        <t:Anchor>
          <t:Comment id="692221976"/>
        </t:Anchor>
        <t:Create/>
      </t:Event>
      <t:Event id="{F972CE3D-EA45-4BAB-8BCE-088CBC6CE46E}" time="2025-08-07T16:31:37.218Z">
        <t:Attribution userId="S::amy.norman@publicfirst.co.uk::34fa8d7f-63aa-4dc1-abce-51ee61f60dc2" userProvider="AD" userName="Amy Norman"/>
        <t:Anchor>
          <t:Comment id="692221976"/>
        </t:Anchor>
        <t:Assign userId="S::Jordan.southwell@publicfirst.co.uk::5f8a78d4-3007-46ce-b1a6-1a1e8c6976f7" userProvider="AD" userName="Jordan Southwell"/>
      </t:Event>
      <t:Event id="{CB4117D8-7314-434A-9E46-E7C42C6D6126}" time="2025-08-07T16:31:37.218Z">
        <t:Attribution userId="S::amy.norman@publicfirst.co.uk::34fa8d7f-63aa-4dc1-abce-51ee61f60dc2" userProvider="AD" userName="Amy Norman"/>
        <t:Anchor>
          <t:Comment id="692221976"/>
        </t:Anchor>
        <t:SetTitle title="@Jordan Southwell these numbers need double checking against the table"/>
      </t:Event>
    </t:History>
  </t:Task>
  <t:Task id="{C18AF261-6A47-4498-875D-6AAA07BE62E7}">
    <t:Anchor>
      <t:Comment id="663558433"/>
    </t:Anchor>
    <t:History>
      <t:Event id="{64A042E7-7541-464D-AC28-16ADEC33E895}" time="2025-08-07T16:32:00.288Z">
        <t:Attribution userId="S::amy.norman@publicfirst.co.uk::34fa8d7f-63aa-4dc1-abce-51ee61f60dc2" userProvider="AD" userName="Amy Norman"/>
        <t:Anchor>
          <t:Comment id="663558433"/>
        </t:Anchor>
        <t:Create/>
      </t:Event>
      <t:Event id="{30BBCC73-6F53-4D8A-85DF-3DE4F8708F9B}" time="2025-08-07T16:32:00.288Z">
        <t:Attribution userId="S::amy.norman@publicfirst.co.uk::34fa8d7f-63aa-4dc1-abce-51ee61f60dc2" userProvider="AD" userName="Amy Norman"/>
        <t:Anchor>
          <t:Comment id="663558433"/>
        </t:Anchor>
        <t:Assign userId="S::Jordan.southwell@publicfirst.co.uk::5f8a78d4-3007-46ce-b1a6-1a1e8c6976f7" userProvider="AD" userName="Jordan Southwell"/>
      </t:Event>
      <t:Event id="{D2DE8212-4D60-468B-8419-999BA4C14C7A}" time="2025-08-07T16:32:00.288Z">
        <t:Attribution userId="S::amy.norman@publicfirst.co.uk::34fa8d7f-63aa-4dc1-abce-51ee61f60dc2" userProvider="AD" userName="Amy Norman"/>
        <t:Anchor>
          <t:Comment id="663558433"/>
        </t:Anchor>
        <t:SetTitle title="@Jordan Southwell and this"/>
      </t:Event>
    </t:History>
  </t:Task>
  <t:Task id="{F9AFED09-DD78-4820-85B2-6380A72B31F5}">
    <t:Anchor>
      <t:Comment id="723465935"/>
    </t:Anchor>
    <t:History>
      <t:Event id="{73342C89-EBFE-4D59-B3D1-C63ED78D53C2}" time="2025-08-07T16:32:10.857Z">
        <t:Attribution userId="S::amy.norman@publicfirst.co.uk::34fa8d7f-63aa-4dc1-abce-51ee61f60dc2" userProvider="AD" userName="Amy Norman"/>
        <t:Anchor>
          <t:Comment id="723465935"/>
        </t:Anchor>
        <t:Create/>
      </t:Event>
      <t:Event id="{E690509A-92B5-4E0F-B3F8-9B5DCC1A9105}" time="2025-08-07T16:32:10.857Z">
        <t:Attribution userId="S::amy.norman@publicfirst.co.uk::34fa8d7f-63aa-4dc1-abce-51ee61f60dc2" userProvider="AD" userName="Amy Norman"/>
        <t:Anchor>
          <t:Comment id="723465935"/>
        </t:Anchor>
        <t:Assign userId="S::Jordan.southwell@publicfirst.co.uk::5f8a78d4-3007-46ce-b1a6-1a1e8c6976f7" userProvider="AD" userName="Jordan Southwell"/>
      </t:Event>
      <t:Event id="{56A3AAD5-E095-460D-81A2-EF9AF44DB1B9}" time="2025-08-07T16:32:10.857Z">
        <t:Attribution userId="S::amy.norman@publicfirst.co.uk::34fa8d7f-63aa-4dc1-abce-51ee61f60dc2" userProvider="AD" userName="Amy Norman"/>
        <t:Anchor>
          <t:Comment id="723465935"/>
        </t:Anchor>
        <t:SetTitle title="and this @Jordan Southwel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B87246E8E729409F5A9F05DB8EF4D6" ma:contentTypeVersion="15" ma:contentTypeDescription="Create a new document." ma:contentTypeScope="" ma:versionID="47cbc7be735d09e773b1af6ecc906ff4">
  <xsd:schema xmlns:xsd="http://www.w3.org/2001/XMLSchema" xmlns:xs="http://www.w3.org/2001/XMLSchema" xmlns:p="http://schemas.microsoft.com/office/2006/metadata/properties" xmlns:ns3="f2a60d03-fcb9-4da0-97f5-7a2e59b644a7" xmlns:ns4="e2c091b8-b68c-4241-b0b0-04c32f8aa8b9" targetNamespace="http://schemas.microsoft.com/office/2006/metadata/properties" ma:root="true" ma:fieldsID="242e84242161c8dc8405361ed9595359" ns3:_="" ns4:_="">
    <xsd:import namespace="f2a60d03-fcb9-4da0-97f5-7a2e59b644a7"/>
    <xsd:import namespace="e2c091b8-b68c-4241-b0b0-04c32f8aa8b9"/>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SystemTag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60d03-fcb9-4da0-97f5-7a2e59b644a7"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c091b8-b68c-4241-b0b0-04c32f8aa8b9"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2a60d03-fcb9-4da0-97f5-7a2e59b644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8E6C64-70BC-47A5-A6A9-AC2E655C4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60d03-fcb9-4da0-97f5-7a2e59b644a7"/>
    <ds:schemaRef ds:uri="e2c091b8-b68c-4241-b0b0-04c32f8a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0EFBD-045C-4A69-BAEA-A33F481B1D06}">
  <ds:schemaRefs>
    <ds:schemaRef ds:uri="http://schemas.openxmlformats.org/package/2006/metadata/core-properties"/>
    <ds:schemaRef ds:uri="http://purl.org/dc/terms/"/>
    <ds:schemaRef ds:uri="http://schemas.microsoft.com/office/2006/metadata/properties"/>
    <ds:schemaRef ds:uri="f2a60d03-fcb9-4da0-97f5-7a2e59b644a7"/>
    <ds:schemaRef ds:uri="e2c091b8-b68c-4241-b0b0-04c32f8aa8b9"/>
    <ds:schemaRef ds:uri="http://schemas.microsoft.com/office/2006/documentManagement/types"/>
    <ds:schemaRef ds:uri="http://schemas.microsoft.com/office/infopath/2007/PartnerControl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EC08E492-B707-4FFA-9A1E-6D0603A79F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16994</Words>
  <Characters>93131</Characters>
  <Application>Microsoft Office Word</Application>
  <DocSecurity>8</DocSecurity>
  <Lines>2387</Lines>
  <Paragraphs>860</Paragraphs>
  <ScaleCrop>false</ScaleCrop>
  <Company/>
  <LinksUpToDate>false</LinksUpToDate>
  <CharactersWithSpaces>109265</CharactersWithSpaces>
  <SharedDoc>false</SharedDoc>
  <HLinks>
    <vt:vector size="66" baseType="variant">
      <vt:variant>
        <vt:i4>3080195</vt:i4>
      </vt:variant>
      <vt:variant>
        <vt:i4>57</vt:i4>
      </vt:variant>
      <vt:variant>
        <vt:i4>0</vt:i4>
      </vt:variant>
      <vt:variant>
        <vt:i4>5</vt:i4>
      </vt:variant>
      <vt:variant>
        <vt:lpwstr>https://www.disabilityrightsuk.org/news/90-pip-standard-daily-living-component-recipients-would-fail-new-green-paper-test?srsltid=AfmBOoqmQ3P5dOjAdDj05zMv_n8Mk8gUnJEKYnjJ0WwmJYitA_QZF_cd</vt:lpwstr>
      </vt:variant>
      <vt:variant>
        <vt:lpwstr/>
      </vt:variant>
      <vt:variant>
        <vt:i4>3866661</vt:i4>
      </vt:variant>
      <vt:variant>
        <vt:i4>54</vt:i4>
      </vt:variant>
      <vt:variant>
        <vt:i4>0</vt:i4>
      </vt:variant>
      <vt:variant>
        <vt:i4>5</vt:i4>
      </vt:variant>
      <vt:variant>
        <vt:lpwstr>https://www.gov.uk/government/statistics/households-below-average-income-for-financial-years-ending-1995-to-2020/household-below-average-income-series-quality-and-methodology-information-report-fye-2020</vt:lpwstr>
      </vt:variant>
      <vt:variant>
        <vt:lpwstr/>
      </vt:variant>
      <vt:variant>
        <vt:i4>1638487</vt:i4>
      </vt:variant>
      <vt:variant>
        <vt:i4>51</vt:i4>
      </vt:variant>
      <vt:variant>
        <vt:i4>0</vt:i4>
      </vt:variant>
      <vt:variant>
        <vt:i4>5</vt:i4>
      </vt:variant>
      <vt:variant>
        <vt:lpwstr>https://www.ofgem.gov.uk/standing-charge-electricity-and-gas</vt:lpwstr>
      </vt:variant>
      <vt:variant>
        <vt:lpwstr/>
      </vt:variant>
      <vt:variant>
        <vt:i4>1572918</vt:i4>
      </vt:variant>
      <vt:variant>
        <vt:i4>44</vt:i4>
      </vt:variant>
      <vt:variant>
        <vt:i4>0</vt:i4>
      </vt:variant>
      <vt:variant>
        <vt:i4>5</vt:i4>
      </vt:variant>
      <vt:variant>
        <vt:lpwstr/>
      </vt:variant>
      <vt:variant>
        <vt:lpwstr>_Toc202861067</vt:lpwstr>
      </vt:variant>
      <vt:variant>
        <vt:i4>1572918</vt:i4>
      </vt:variant>
      <vt:variant>
        <vt:i4>38</vt:i4>
      </vt:variant>
      <vt:variant>
        <vt:i4>0</vt:i4>
      </vt:variant>
      <vt:variant>
        <vt:i4>5</vt:i4>
      </vt:variant>
      <vt:variant>
        <vt:lpwstr/>
      </vt:variant>
      <vt:variant>
        <vt:lpwstr>_Toc202861066</vt:lpwstr>
      </vt:variant>
      <vt:variant>
        <vt:i4>1572918</vt:i4>
      </vt:variant>
      <vt:variant>
        <vt:i4>32</vt:i4>
      </vt:variant>
      <vt:variant>
        <vt:i4>0</vt:i4>
      </vt:variant>
      <vt:variant>
        <vt:i4>5</vt:i4>
      </vt:variant>
      <vt:variant>
        <vt:lpwstr/>
      </vt:variant>
      <vt:variant>
        <vt:lpwstr>_Toc202861065</vt:lpwstr>
      </vt:variant>
      <vt:variant>
        <vt:i4>1572918</vt:i4>
      </vt:variant>
      <vt:variant>
        <vt:i4>26</vt:i4>
      </vt:variant>
      <vt:variant>
        <vt:i4>0</vt:i4>
      </vt:variant>
      <vt:variant>
        <vt:i4>5</vt:i4>
      </vt:variant>
      <vt:variant>
        <vt:lpwstr/>
      </vt:variant>
      <vt:variant>
        <vt:lpwstr>_Toc202861064</vt:lpwstr>
      </vt:variant>
      <vt:variant>
        <vt:i4>1572918</vt:i4>
      </vt:variant>
      <vt:variant>
        <vt:i4>20</vt:i4>
      </vt:variant>
      <vt:variant>
        <vt:i4>0</vt:i4>
      </vt:variant>
      <vt:variant>
        <vt:i4>5</vt:i4>
      </vt:variant>
      <vt:variant>
        <vt:lpwstr/>
      </vt:variant>
      <vt:variant>
        <vt:lpwstr>_Toc202861063</vt:lpwstr>
      </vt:variant>
      <vt:variant>
        <vt:i4>1572918</vt:i4>
      </vt:variant>
      <vt:variant>
        <vt:i4>14</vt:i4>
      </vt:variant>
      <vt:variant>
        <vt:i4>0</vt:i4>
      </vt:variant>
      <vt:variant>
        <vt:i4>5</vt:i4>
      </vt:variant>
      <vt:variant>
        <vt:lpwstr/>
      </vt:variant>
      <vt:variant>
        <vt:lpwstr>_Toc202861062</vt:lpwstr>
      </vt:variant>
      <vt:variant>
        <vt:i4>1572918</vt:i4>
      </vt:variant>
      <vt:variant>
        <vt:i4>8</vt:i4>
      </vt:variant>
      <vt:variant>
        <vt:i4>0</vt:i4>
      </vt:variant>
      <vt:variant>
        <vt:i4>5</vt:i4>
      </vt:variant>
      <vt:variant>
        <vt:lpwstr/>
      </vt:variant>
      <vt:variant>
        <vt:lpwstr>_Toc202861061</vt:lpwstr>
      </vt:variant>
      <vt:variant>
        <vt:i4>1572918</vt:i4>
      </vt:variant>
      <vt:variant>
        <vt:i4>2</vt:i4>
      </vt:variant>
      <vt:variant>
        <vt:i4>0</vt:i4>
      </vt:variant>
      <vt:variant>
        <vt:i4>5</vt:i4>
      </vt:variant>
      <vt:variant>
        <vt:lpwstr/>
      </vt:variant>
      <vt:variant>
        <vt:lpwstr>_Toc202861060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Norman</dc:creator>
  <cp:keywords/>
  <cp:lastModifiedBy>Amy Norman</cp:lastModifiedBy>
  <cp:revision>2</cp:revision>
  <dcterms:created xsi:type="dcterms:W3CDTF">2025-08-26T15:05:00Z</dcterms:created>
  <dcterms:modified xsi:type="dcterms:W3CDTF">2025-08-26T15:05:00Z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0x01010079B87246E8E729409F5A9F05DB8EF4D6</vt:lpwstr>
  </property>
  <property fmtid="{D5CDD505-2E9C-101B-9397-08002B2CF9AE}" pid="4" name="GrammarlyDocumentId">
    <vt:lpwstr>fd09b1a7-67c9-493b-a6a0-f2daf9d0734e</vt:lpwstr>
  </property>
</Properties>
</file>